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岳阳市养老和工伤保险服务中心</w:t>
      </w: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both"/>
        <w:rPr>
          <w:sz w:val="32"/>
          <w:szCs w:val="32"/>
        </w:rPr>
      </w:pPr>
    </w:p>
    <w:p>
      <w:pPr>
        <w:pStyle w:val="12"/>
        <w:jc w:val="center"/>
        <w:rPr>
          <w:sz w:val="32"/>
          <w:szCs w:val="32"/>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keepNext w:val="0"/>
        <w:keepLines w:val="0"/>
        <w:pageBreakBefore w:val="0"/>
        <w:widowControl w:val="0"/>
        <w:kinsoku/>
        <w:wordWrap/>
        <w:overflowPunct/>
        <w:topLinePunct w:val="0"/>
        <w:bidi w:val="0"/>
        <w:snapToGrid/>
        <w:spacing w:line="480"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岳阳市养老和工伤保险服务中心单位</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方正小标宋_GBK" w:hAnsi="方正小标宋_GBK" w:eastAsia="方正小标宋_GBK" w:cs="方正小标宋_GBK"/>
          <w:sz w:val="84"/>
          <w:szCs w:val="84"/>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jc w:val="both"/>
        <w:rPr>
          <w:rFonts w:hint="eastAsia" w:ascii="方正小标宋_GBK" w:hAnsi="方正小标宋_GBK" w:eastAsia="方正小标宋_GBK" w:cs="方正小标宋_GBK"/>
          <w:sz w:val="84"/>
          <w:szCs w:val="84"/>
        </w:rPr>
      </w:pPr>
    </w:p>
    <w:p>
      <w:pPr>
        <w:pStyle w:val="12"/>
        <w:jc w:val="both"/>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lang w:val="en-US" w:eastAsia="zh-CN"/>
        </w:rPr>
        <w:t>岳阳市养老和工伤保险服务中心单位</w:t>
      </w:r>
      <w:r>
        <w:rPr>
          <w:rFonts w:hint="eastAsia" w:ascii="方正小标宋_GBK" w:hAnsi="方正小标宋_GBK" w:eastAsia="方正小标宋_GBK" w:cs="方正小标宋_GBK"/>
          <w:sz w:val="72"/>
          <w:szCs w:val="72"/>
        </w:rPr>
        <w:t>概况</w:t>
      </w:r>
    </w:p>
    <w:p>
      <w:pPr>
        <w:pStyle w:val="7"/>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3"/>
        <w:ind w:left="0" w:leftChars="0" w:firstLine="0" w:firstLineChars="0"/>
        <w:rPr>
          <w:rFonts w:hint="eastAsia" w:ascii="方正小标宋_GBK" w:hAnsi="方正小标宋_GBK" w:eastAsia="方正小标宋_GBK" w:cs="方正小标宋_GBK"/>
          <w:sz w:val="84"/>
          <w:szCs w:val="84"/>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pStyle w:val="12"/>
        <w:spacing w:line="500" w:lineRule="exact"/>
        <w:ind w:firstLine="800" w:firstLineChars="25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（一）负责宣传、贯彻养老保险及工伤保险政策、法规，落实政策的具体实施；</w:t>
      </w:r>
    </w:p>
    <w:p>
      <w:pPr>
        <w:pStyle w:val="12"/>
        <w:spacing w:line="500" w:lineRule="exact"/>
        <w:ind w:firstLine="800" w:firstLineChars="25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（二）负责养老、工伤保险基金的支付和管理工作，确保基金安全运营；</w:t>
      </w:r>
    </w:p>
    <w:p>
      <w:pPr>
        <w:pStyle w:val="12"/>
        <w:spacing w:line="500" w:lineRule="exact"/>
        <w:ind w:firstLine="800" w:firstLineChars="25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（三）负责参保人员养老保险、工伤保险待遇及时足额发放；</w:t>
      </w:r>
    </w:p>
    <w:p>
      <w:pPr>
        <w:pStyle w:val="12"/>
        <w:spacing w:line="500" w:lineRule="exact"/>
        <w:ind w:firstLine="800" w:firstLineChars="25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（四）负责离退休人员的社会化服务工作及指导社区建设；</w:t>
      </w:r>
    </w:p>
    <w:p>
      <w:pPr>
        <w:pStyle w:val="12"/>
        <w:spacing w:line="500" w:lineRule="exact"/>
        <w:ind w:firstLine="800" w:firstLineChars="25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（五）负责参保单位和参保人员的养老、工伤保险业务办理及政策咨询工作；</w:t>
      </w:r>
    </w:p>
    <w:p>
      <w:pPr>
        <w:pStyle w:val="12"/>
        <w:spacing w:line="500" w:lineRule="exact"/>
        <w:ind w:firstLine="800" w:firstLineChars="25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（六）负责开展工伤预防、安全生产宣传和业务培训工作；</w:t>
      </w:r>
    </w:p>
    <w:p>
      <w:pPr>
        <w:pStyle w:val="12"/>
        <w:spacing w:line="500" w:lineRule="exact"/>
        <w:ind w:firstLine="800" w:firstLineChars="25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（七）负责对工伤定点医疗机构、职业康复机构签订协议及管理；</w:t>
      </w:r>
    </w:p>
    <w:p>
      <w:pPr>
        <w:pStyle w:val="12"/>
        <w:spacing w:line="500" w:lineRule="exact"/>
        <w:ind w:firstLine="800" w:firstLineChars="25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（八）负责工伤事故的调查、认定、统计和信息管理；</w:t>
      </w:r>
    </w:p>
    <w:p>
      <w:pPr>
        <w:pStyle w:val="12"/>
        <w:spacing w:line="500" w:lineRule="exact"/>
        <w:ind w:firstLine="800" w:firstLineChars="25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（九）负责市人力资源和社会保障局授权或委托办理的其他工作。</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岳阳市养老和工伤保险服务中心内设机构包括：综合部、企保基金结算部、企保参保登记部、企保个人账户部、企保退休待遇部、工伤参保登记部、工伤待遇部、工伤预防部、城居保部、内控稽核部、财务部、机关事保所、离退服务所、工伤事故勘察所、党办。</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p>
    <w:p>
      <w:pPr>
        <w:widowControl/>
        <w:spacing w:line="600" w:lineRule="exact"/>
        <w:ind w:firstLine="640" w:firstLineChars="200"/>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lang w:val="en-US" w:eastAsia="zh-CN"/>
        </w:rPr>
        <w:t>本单位无独立核算的下属单位，2023年度部门决算汇总公开单位仅包括岳阳市养老和工伤保险服务中心单位本级。</w:t>
      </w: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12"/>
        <w:jc w:val="both"/>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both"/>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color w:val="auto"/>
          <w:kern w:val="2"/>
          <w:sz w:val="32"/>
          <w:szCs w:val="32"/>
          <w:lang w:val="en-US" w:eastAsia="zh-CN" w:bidi="ar-SA"/>
        </w:rPr>
        <w:t>1745.26万元。与上年相比，减少119.76万元，减少6.42%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color w:val="auto"/>
          <w:kern w:val="2"/>
          <w:sz w:val="32"/>
          <w:szCs w:val="32"/>
          <w:lang w:val="en-US" w:eastAsia="zh-CN" w:bidi="ar-SA"/>
        </w:rPr>
        <w:t>：一是2023年其他资金收入比上年减少48.46万元；二是国有资本经营预算财政拨款收入较上年减少23.38万元；三是2023年预算人数较上年减少4人，一般公共预算财政拨款收入减少48.27万元；四是本年非财政拨款结余较上年增加0.35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color w:val="auto"/>
          <w:kern w:val="2"/>
          <w:sz w:val="32"/>
          <w:szCs w:val="32"/>
          <w:lang w:val="en-US" w:eastAsia="zh-CN" w:bidi="ar-SA"/>
        </w:rPr>
        <w:t>1744.91</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1742.13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99.84</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2.77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0.16</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1745.26</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1440.18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82.52</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305.08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17.48</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1742.13</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71.66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3.95</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kern w:val="2"/>
          <w:sz w:val="32"/>
          <w:szCs w:val="32"/>
          <w:lang w:val="en-US" w:eastAsia="zh-CN" w:bidi="ar-SA"/>
        </w:rPr>
        <w:t>一是国有资本经营预算财政拨款收入较上年减少23.38万元；二是2023年预算人数较上年减少4人，一般公共预算财政拨款收入减少48.27万元。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1668.54</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95.60</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48.28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2.81</w:t>
      </w:r>
      <w:r>
        <w:rPr>
          <w:rFonts w:hint="eastAsia" w:ascii="仿宋_GB2312" w:hAnsi="仿宋_GB2312" w:eastAsia="仿宋_GB2312" w:cs="仿宋_GB2312"/>
          <w:sz w:val="32"/>
          <w:szCs w:val="32"/>
        </w:rPr>
        <w:t>%，主要是因为</w:t>
      </w:r>
      <w:r>
        <w:rPr>
          <w:rFonts w:hint="eastAsia" w:ascii="仿宋_GB2312" w:hAnsi="仿宋_GB2312" w:eastAsia="仿宋_GB2312" w:cs="仿宋_GB2312"/>
          <w:color w:val="auto"/>
          <w:kern w:val="2"/>
          <w:sz w:val="32"/>
          <w:szCs w:val="32"/>
          <w:lang w:val="en-US" w:eastAsia="zh-CN" w:bidi="ar-SA"/>
        </w:rPr>
        <w:t>2023年预算人数较上年减少4人，一般公共预算财政拨款收入减少48.28万元。</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2"/>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1668.54</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color w:val="auto"/>
          <w:kern w:val="2"/>
          <w:sz w:val="32"/>
          <w:szCs w:val="32"/>
          <w:lang w:val="en-US" w:eastAsia="zh-CN" w:bidi="ar-SA"/>
        </w:rPr>
        <w:t>社会保障和就业（类）支出1534.41万元，占91.96%；卫生健康（类）支出46.34万元，占2.78%；住房保障（类）支出87.79万元，占5.26%。</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1411.15</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1668.54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118.24</w:t>
      </w:r>
      <w:r>
        <w:rPr>
          <w:rFonts w:hint="eastAsia" w:ascii="仿宋_GB2312" w:hAnsi="仿宋_GB2312" w:eastAsia="仿宋_GB2312" w:cs="仿宋_GB2312"/>
          <w:sz w:val="32"/>
          <w:szCs w:val="32"/>
        </w:rPr>
        <w:t>%，其中：</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1、社会保障和就业支出（类）人力资源和社会保障管理事务（款）行政运行（项）。</w:t>
      </w:r>
    </w:p>
    <w:p>
      <w:pPr>
        <w:widowControl w:val="0"/>
        <w:autoSpaceDE w:val="0"/>
        <w:autoSpaceDN w:val="0"/>
        <w:adjustRightInd w:val="0"/>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年初预算为1113.22万元，支出决算为1164.94万元，完成年初预算的104.65%，决算数大于年初预算数的主要原因是：年中下达了2022年综合绩效奖指标，该项资金为追加指标，未体现在年初预算内。</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2、社会保障和就业支出（类）人力资源和社会保障管理事务（款）社会保险经办机构（项）。</w:t>
      </w:r>
    </w:p>
    <w:p>
      <w:pPr>
        <w:widowControl w:val="0"/>
        <w:autoSpaceDE w:val="0"/>
        <w:autoSpaceDN w:val="0"/>
        <w:adjustRightInd w:val="0"/>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60万元，支出决算为116.65万元，完成年初预算的194.42%，决算数大于年初预算数的主要原因是：年中下达了其他资金、2023年人员经费补差、十三月工资指标，此部分指标为预算追加指标，未在年初预算中体现。</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3、社会保障和就业支出（类）人力资源和社会保障管理事务（款）其他人力资源和社会保障管理事务支出（项）。</w:t>
      </w:r>
    </w:p>
    <w:p>
      <w:pPr>
        <w:widowControl w:val="0"/>
        <w:autoSpaceDE w:val="0"/>
        <w:autoSpaceDN w:val="0"/>
        <w:adjustRightInd w:val="0"/>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年初预算为0万元，支出决算为0.09万元，决算数大于年初预算数的主要原因是：该项费用为上年未用完的十三月工资，结转到本年继续使用，为结转指标。</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4、社会保障和就业支出（类）行政事业单位养老支出（款）机关事业单位基本养老保险缴费支出（项）。</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年初预算为88.19万元，支出决算为88.19万元，完成年初预算的100%，决算数等于年初预算数，主要为职工机关事业单位养老保险缴费单位部分支出。</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5、社会保障和就业支出（类）行政事业单位养老支出（款）其他行政事业单位养老支出（项）。</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年初预算为0万元，支出决算为143.57万元，决算数大于年初预算数的主要原因是：该指标为上年结转数，为职业年金虚账记实资金。</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6、社会保障和就业支出（类）抚恤（款）其他优抚支出（项）。</w:t>
      </w:r>
    </w:p>
    <w:p>
      <w:pPr>
        <w:widowControl w:val="0"/>
        <w:autoSpaceDE w:val="0"/>
        <w:autoSpaceDN w:val="0"/>
        <w:adjustRightInd w:val="0"/>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年初预算为0万元，支出决算为15.98万元，决算数大于年初预算数的主要原因是当年有抚恤金支出发生。</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7、社会保障和就业支出（类）其他社会保障和就业支出（款）其他社会保障和就业支出（项）。</w:t>
      </w:r>
    </w:p>
    <w:p>
      <w:pPr>
        <w:widowControl w:val="0"/>
        <w:autoSpaceDE w:val="0"/>
        <w:autoSpaceDN w:val="0"/>
        <w:adjustRightInd w:val="0"/>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年初预算为0万元，支出决算为4.99万元，决算数大于年初预算数的主要原因是：该指标为上年结转数，主要为省人社厅因工伤保险省级统筹经费补助。</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8、卫生健康支出（类）行政事业单位医疗（款）事业单位医疗（项）。</w:t>
      </w:r>
    </w:p>
    <w:p>
      <w:pPr>
        <w:widowControl w:val="0"/>
        <w:autoSpaceDE w:val="0"/>
        <w:autoSpaceDN w:val="0"/>
        <w:adjustRightInd w:val="0"/>
        <w:ind w:firstLine="800" w:firstLineChars="25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年初预算为46.34万元，支出决算为46.34万元，完成年初预算的100%，决算数等于年初预算数，主要为职工医疗保险缴费单位部分支出。</w:t>
      </w:r>
    </w:p>
    <w:p>
      <w:pPr>
        <w:widowControl w:val="0"/>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9、卫生健康支出（类）行政事业单位医疗（款）公务员医疗补助（项）。</w:t>
      </w:r>
    </w:p>
    <w:p>
      <w:pPr>
        <w:widowControl w:val="0"/>
        <w:autoSpaceDE w:val="0"/>
        <w:autoSpaceDN w:val="0"/>
        <w:adjustRightInd w:val="0"/>
        <w:ind w:firstLine="800" w:firstLineChars="25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年初预算为15.62万元，支出决算为0万元，完成年初预算的0%，决算数小于年初预算数，主要为该项补助由财政代扣代缴，未下指标到单位，故无支出决算数。</w:t>
      </w:r>
    </w:p>
    <w:p>
      <w:pPr>
        <w:widowControl w:val="0"/>
        <w:numPr>
          <w:ilvl w:val="0"/>
          <w:numId w:val="0"/>
        </w:numPr>
        <w:autoSpaceDE w:val="0"/>
        <w:autoSpaceDN w:val="0"/>
        <w:adjustRightInd w:val="0"/>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10、住房保障支出（类）住房改革支出（款）住房公积金（项）。</w:t>
      </w:r>
    </w:p>
    <w:p>
      <w:pPr>
        <w:widowControl w:val="0"/>
        <w:autoSpaceDE w:val="0"/>
        <w:autoSpaceDN w:val="0"/>
        <w:adjustRightInd w:val="0"/>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年初预算为87.79万元，支出决算为87.79万元，完成年初预算的100%，决算数等于年初预算数，主要为职工住房公积金单位部分支出。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1437.06</w:t>
      </w:r>
      <w:r>
        <w:rPr>
          <w:rFonts w:hint="eastAsia" w:ascii="仿宋_GB2312" w:hAnsi="仿宋_GB2312" w:eastAsia="仿宋_GB2312" w:cs="仿宋_GB2312"/>
          <w:sz w:val="32"/>
          <w:szCs w:val="32"/>
        </w:rPr>
        <w:t>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color w:val="auto"/>
          <w:kern w:val="2"/>
          <w:sz w:val="32"/>
          <w:szCs w:val="32"/>
          <w:lang w:val="en-US" w:eastAsia="zh-CN" w:bidi="ar-SA"/>
        </w:rPr>
        <w:t>1273.59</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88.62</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kern w:val="2"/>
          <w:sz w:val="32"/>
          <w:szCs w:val="32"/>
          <w:lang w:val="en-US" w:eastAsia="zh-CN" w:bidi="ar-SA"/>
        </w:rPr>
        <w:t>主要包括基本工资、津贴补贴、奖金、伙食补助费、绩效工资、机关事业单位基本养老保险缴费、职工基本医疗保险缴费、其他社会保障缴费、住房公积金、医疗费、退休费、抚恤金、生活补助、医疗费补助、其他对个人和家庭的补助。</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163.47</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11.38</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kern w:val="2"/>
          <w:sz w:val="32"/>
          <w:szCs w:val="32"/>
          <w:lang w:val="en-US" w:eastAsia="zh-CN" w:bidi="ar-SA"/>
        </w:rPr>
        <w:t>主要包括办公费、印刷费、水费、电费、物业管理费、差旅费、维修（护）费、会议费、培训费、公务接待费、劳务费、工会经费、福利费、其他交通费、其他商品和服务支出。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color w:val="000000"/>
          <w:kern w:val="0"/>
          <w:sz w:val="32"/>
          <w:szCs w:val="32"/>
          <w:lang w:val="en-US" w:eastAsia="zh-CN" w:bidi="ar-SA"/>
        </w:rPr>
        <w:t>2023年度政府性基金预算财政拨款收入0万元；年初结转和结余0万元；支出0万元，其中基本支出0万元，项目支出0万元；年末结转和结余0万元。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2023年度国有资本经营预算财政拨款收入73.59万元；年初结转和结余0万；支出73.59万元；年末结转和结余0万元。具体情况如下：</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国有资本经营预算支出</w:t>
      </w:r>
      <w:r>
        <w:rPr>
          <w:rFonts w:hint="eastAsia" w:ascii="仿宋_GB2312" w:hAnsi="仿宋_GB2312" w:eastAsia="仿宋_GB2312" w:cs="仿宋_GB2312"/>
          <w:color w:val="auto"/>
          <w:kern w:val="2"/>
          <w:sz w:val="32"/>
          <w:szCs w:val="32"/>
          <w:lang w:val="zh-CN" w:eastAsia="zh-CN" w:bidi="ar-SA"/>
        </w:rPr>
        <w:t>（类）</w:t>
      </w:r>
      <w:r>
        <w:rPr>
          <w:rFonts w:hint="eastAsia" w:ascii="仿宋_GB2312" w:hAnsi="仿宋_GB2312" w:eastAsia="仿宋_GB2312" w:cs="仿宋_GB2312"/>
          <w:color w:val="auto"/>
          <w:kern w:val="2"/>
          <w:sz w:val="32"/>
          <w:szCs w:val="32"/>
          <w:lang w:val="en-US" w:eastAsia="zh-CN" w:bidi="ar-SA"/>
        </w:rPr>
        <w:t>解决历史遗留问题及改革成本支出</w:t>
      </w:r>
      <w:r>
        <w:rPr>
          <w:rFonts w:hint="eastAsia" w:ascii="仿宋_GB2312" w:hAnsi="仿宋_GB2312" w:eastAsia="仿宋_GB2312" w:cs="仿宋_GB2312"/>
          <w:color w:val="auto"/>
          <w:kern w:val="2"/>
          <w:sz w:val="32"/>
          <w:szCs w:val="32"/>
          <w:lang w:val="zh-CN" w:eastAsia="zh-CN" w:bidi="ar-SA"/>
        </w:rPr>
        <w:t>（款）</w:t>
      </w:r>
      <w:r>
        <w:rPr>
          <w:rFonts w:hint="eastAsia" w:ascii="仿宋_GB2312" w:hAnsi="仿宋_GB2312" w:eastAsia="仿宋_GB2312" w:cs="仿宋_GB2312"/>
          <w:color w:val="auto"/>
          <w:kern w:val="2"/>
          <w:sz w:val="32"/>
          <w:szCs w:val="32"/>
          <w:lang w:val="en-US" w:eastAsia="zh-CN" w:bidi="ar-SA"/>
        </w:rPr>
        <w:t>国有企业退休人员社会化管理补助支出</w:t>
      </w:r>
      <w:r>
        <w:rPr>
          <w:rFonts w:hint="eastAsia" w:ascii="仿宋_GB2312" w:hAnsi="仿宋_GB2312" w:eastAsia="仿宋_GB2312" w:cs="仿宋_GB2312"/>
          <w:color w:val="auto"/>
          <w:kern w:val="2"/>
          <w:sz w:val="32"/>
          <w:szCs w:val="32"/>
          <w:lang w:val="zh-CN" w:eastAsia="zh-CN" w:bidi="ar-SA"/>
        </w:rPr>
        <w:t>（项）。</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年初预算为0万元，支出决算为73.59万元，决算数大于年初预算数的主要原因是：</w:t>
      </w:r>
      <w:r>
        <w:rPr>
          <w:rFonts w:hint="eastAsia" w:ascii="仿宋_GB2312" w:hAnsi="仿宋_GB2312" w:eastAsia="仿宋_GB2312" w:cs="仿宋_GB2312"/>
          <w:color w:val="auto"/>
          <w:kern w:val="2"/>
          <w:sz w:val="32"/>
          <w:szCs w:val="32"/>
          <w:lang w:val="en-US" w:eastAsia="zh-CN" w:bidi="ar-SA"/>
        </w:rPr>
        <w:t>该项目因政策所需，为后续追加特定类预算项目。</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“三公”经费财政拨款支出预算为</w:t>
      </w:r>
      <w:r>
        <w:rPr>
          <w:rFonts w:hint="eastAsia" w:ascii="仿宋_GB2312" w:hAnsi="仿宋_GB2312" w:eastAsia="仿宋_GB2312" w:cs="仿宋_GB2312"/>
          <w:color w:val="auto"/>
          <w:sz w:val="32"/>
          <w:szCs w:val="32"/>
          <w:lang w:val="en-US" w:eastAsia="zh-CN"/>
        </w:rPr>
        <w:t>2.22</w:t>
      </w:r>
      <w:r>
        <w:rPr>
          <w:rFonts w:hint="eastAsia" w:ascii="仿宋_GB2312" w:hAnsi="仿宋_GB2312" w:eastAsia="仿宋_GB2312" w:cs="仿宋_GB2312"/>
          <w:color w:val="auto"/>
          <w:sz w:val="32"/>
          <w:szCs w:val="32"/>
        </w:rPr>
        <w:t>万元，支出决算为</w:t>
      </w:r>
      <w:r>
        <w:rPr>
          <w:rFonts w:hint="eastAsia" w:ascii="仿宋_GB2312" w:hAnsi="仿宋_GB2312" w:eastAsia="仿宋_GB2312" w:cs="仿宋_GB2312"/>
          <w:color w:val="auto"/>
          <w:sz w:val="32"/>
          <w:szCs w:val="32"/>
          <w:lang w:val="en-US" w:eastAsia="zh-CN"/>
        </w:rPr>
        <w:t>1.01</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45.5</w:t>
      </w:r>
      <w:r>
        <w:rPr>
          <w:rFonts w:hint="eastAsia" w:ascii="仿宋_GB2312" w:hAnsi="仿宋_GB2312" w:eastAsia="仿宋_GB2312" w:cs="仿宋_GB2312"/>
          <w:color w:val="auto"/>
          <w:sz w:val="32"/>
          <w:szCs w:val="32"/>
        </w:rPr>
        <w:t>%，决算数小于预算数的主要原因是</w:t>
      </w:r>
      <w:r>
        <w:rPr>
          <w:rFonts w:hint="eastAsia" w:ascii="仿宋_GB2312" w:hAnsi="仿宋_GB2312" w:eastAsia="仿宋_GB2312" w:cs="仿宋_GB2312"/>
          <w:color w:val="auto"/>
          <w:kern w:val="2"/>
          <w:sz w:val="32"/>
          <w:szCs w:val="32"/>
          <w:lang w:val="zh-CN" w:eastAsia="zh-CN" w:bidi="ar-SA"/>
        </w:rPr>
        <w:t>认真贯彻落实中央</w:t>
      </w:r>
      <w:bookmarkStart w:id="0" w:name="_GoBack"/>
      <w:bookmarkEnd w:id="0"/>
      <w:r>
        <w:rPr>
          <w:rFonts w:hint="eastAsia" w:ascii="仿宋_GB2312" w:hAnsi="仿宋_GB2312" w:eastAsia="仿宋_GB2312" w:cs="仿宋_GB2312"/>
          <w:color w:val="auto"/>
          <w:kern w:val="2"/>
          <w:sz w:val="32"/>
          <w:szCs w:val="32"/>
          <w:lang w:val="zh-CN" w:eastAsia="zh-CN" w:bidi="ar-SA"/>
        </w:rPr>
        <w:t>八项规定精神和厉行节约要求，从严控制“三公”经费开支</w:t>
      </w:r>
      <w:r>
        <w:rPr>
          <w:rFonts w:hint="eastAsia" w:ascii="仿宋_GB2312" w:hAnsi="仿宋_GB2312" w:eastAsia="仿宋_GB2312" w:cs="仿宋_GB2312"/>
          <w:color w:val="auto"/>
          <w:kern w:val="2"/>
          <w:sz w:val="32"/>
          <w:szCs w:val="32"/>
          <w:lang w:val="en-US" w:eastAsia="zh-CN" w:bidi="ar-SA"/>
        </w:rPr>
        <w:t>所致，</w:t>
      </w:r>
      <w:r>
        <w:rPr>
          <w:rFonts w:hint="eastAsia" w:ascii="仿宋_GB2312" w:hAnsi="仿宋_GB2312" w:eastAsia="仿宋_GB2312" w:cs="仿宋_GB2312"/>
          <w:color w:val="auto"/>
          <w:sz w:val="32"/>
          <w:szCs w:val="32"/>
        </w:rPr>
        <w:t>与上年相比增加</w:t>
      </w:r>
      <w:r>
        <w:rPr>
          <w:rFonts w:hint="eastAsia" w:ascii="仿宋_GB2312" w:hAnsi="仿宋_GB2312" w:eastAsia="仿宋_GB2312" w:cs="仿宋_GB2312"/>
          <w:color w:val="auto"/>
          <w:sz w:val="32"/>
          <w:szCs w:val="32"/>
          <w:lang w:val="en-US" w:eastAsia="zh-CN"/>
        </w:rPr>
        <w:t>0.71</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236.67</w:t>
      </w:r>
      <w:r>
        <w:rPr>
          <w:rFonts w:hint="eastAsia" w:ascii="仿宋_GB2312" w:hAnsi="仿宋_GB2312" w:eastAsia="仿宋_GB2312" w:cs="仿宋_GB2312"/>
          <w:color w:val="auto"/>
          <w:sz w:val="32"/>
          <w:szCs w:val="32"/>
        </w:rPr>
        <w:t>%,增长的主要原因是</w:t>
      </w:r>
      <w:r>
        <w:rPr>
          <w:rFonts w:hint="eastAsia" w:ascii="仿宋_GB2312" w:hAnsi="仿宋_GB2312" w:eastAsia="仿宋_GB2312" w:cs="仿宋_GB2312"/>
          <w:color w:val="auto"/>
          <w:sz w:val="32"/>
          <w:szCs w:val="32"/>
          <w:lang w:val="en-US" w:eastAsia="zh-CN"/>
        </w:rPr>
        <w:t>2022年中，原社会保险服务中心与原工伤保险服务中心合并，业务量增加，全省交换稽核检查次数增多，导致公务接待费在预算标准内稍有增长</w:t>
      </w:r>
      <w:r>
        <w:rPr>
          <w:rFonts w:hint="eastAsia" w:ascii="仿宋_GB2312" w:hAnsi="仿宋_GB2312" w:eastAsia="仿宋_GB2312" w:cs="仿宋_GB2312"/>
          <w:color w:val="auto"/>
          <w:sz w:val="32"/>
          <w:szCs w:val="32"/>
        </w:rPr>
        <w:t>。</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rPr>
        <w:t>其中：</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FF0000"/>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公务接待费支出预算为2.22万元，支出决算为1.01万元，完成预算的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45.5</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，决算数小于预算数的主要原因是</w:t>
      </w:r>
      <w:r>
        <w:rPr>
          <w:rFonts w:hint="eastAsia" w:ascii="仿宋_GB2312" w:hAnsi="仿宋_GB2312" w:eastAsia="仿宋_GB2312" w:cs="仿宋_GB2312"/>
          <w:color w:val="000000" w:themeColor="text1"/>
          <w:kern w:val="2"/>
          <w:sz w:val="32"/>
          <w:szCs w:val="32"/>
          <w:lang w:val="zh-CN" w:eastAsia="zh-CN" w:bidi="ar-SA"/>
          <w14:textFill>
            <w14:solidFill>
              <w14:schemeClr w14:val="tx1"/>
            </w14:solidFill>
          </w14:textFill>
        </w:rPr>
        <w:t>认真贯彻落实中央八项规定精神和厉行节约要求，从严控制“三公”经费开支，全年实际支出比预算数有所压减。</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与上年相比增加0.71万元，增加236.67%，增加的主要原因是</w:t>
      </w:r>
      <w:r>
        <w:rPr>
          <w:rFonts w:hint="eastAsia" w:ascii="仿宋_GB2312" w:hAnsi="仿宋_GB2312" w:eastAsia="仿宋_GB2312" w:cs="仿宋_GB2312"/>
          <w:color w:val="auto"/>
          <w:sz w:val="32"/>
          <w:szCs w:val="32"/>
          <w:lang w:val="en-US" w:eastAsia="zh-CN"/>
        </w:rPr>
        <w:t>2022年中，原社会保险服务中心与原工伤保险服务中心合并，业务量增加，全省交换稽核检查次数增多，导致公务接待费在预算标准内稍有增长</w:t>
      </w:r>
      <w:r>
        <w:rPr>
          <w:rFonts w:hint="eastAsia" w:ascii="仿宋_GB2312" w:hAnsi="仿宋_GB2312" w:eastAsia="仿宋_GB2312" w:cs="仿宋_GB2312"/>
          <w:color w:val="auto"/>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公务用车购置费支出预算为0万元，支出决算为0万元，决算数等于预算数，主要原因是我单位严格按预算执行决算；与上年一致，无增减变动，主要原因是两年均未购置公务用车。</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公务用车运行维护费支出预算为0万元，支出决算为0万元，决算数等于预算数，主要原因是我单位严格按预算执行决算；与上年一致，无增减变动，主要原因是两年均无公务用车需要运行维护。</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1.01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kern w:val="2"/>
          <w:sz w:val="32"/>
          <w:szCs w:val="32"/>
          <w:lang w:val="en-US" w:eastAsia="zh-CN" w:bidi="ar-SA"/>
        </w:rPr>
        <w:t>因公出国（境）费支出决算0万元,占0%，公务用车购置费及运行维护费支出决算0万元，占0%。其中：</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b/>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b/>
          <w:bCs/>
          <w:i/>
          <w:color w:val="auto"/>
          <w:sz w:val="32"/>
          <w:szCs w:val="32"/>
        </w:rPr>
        <w:t>,</w:t>
      </w:r>
      <w:r>
        <w:rPr>
          <w:rFonts w:hint="eastAsia" w:ascii="仿宋_GB2312" w:hAnsi="仿宋_GB2312" w:eastAsia="仿宋_GB2312" w:cs="仿宋_GB2312"/>
          <w:sz w:val="32"/>
          <w:szCs w:val="32"/>
          <w:lang w:val="en-US" w:eastAsia="zh-CN"/>
        </w:rPr>
        <w:t>我单位2023年度无因公出国（境）费支出。</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1.01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全年共接待来访团组</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个、来宾</w:t>
      </w:r>
      <w:r>
        <w:rPr>
          <w:rFonts w:hint="eastAsia" w:ascii="仿宋_GB2312" w:hAnsi="仿宋_GB2312" w:eastAsia="仿宋_GB2312" w:cs="仿宋_GB2312"/>
          <w:color w:val="auto"/>
          <w:sz w:val="32"/>
          <w:szCs w:val="32"/>
          <w:lang w:val="en-US" w:eastAsia="zh-CN"/>
        </w:rPr>
        <w:t>57</w:t>
      </w:r>
      <w:r>
        <w:rPr>
          <w:rFonts w:hint="eastAsia" w:ascii="仿宋_GB2312" w:hAnsi="仿宋_GB2312" w:eastAsia="仿宋_GB2312" w:cs="仿宋_GB2312"/>
          <w:color w:val="auto"/>
          <w:sz w:val="32"/>
          <w:szCs w:val="32"/>
        </w:rPr>
        <w:t>人次，主要是</w:t>
      </w:r>
      <w:r>
        <w:rPr>
          <w:rFonts w:hint="eastAsia" w:ascii="仿宋_GB2312" w:hAnsi="仿宋_GB2312" w:eastAsia="仿宋_GB2312" w:cs="仿宋_GB2312"/>
          <w:color w:val="auto"/>
          <w:sz w:val="32"/>
          <w:szCs w:val="32"/>
          <w:lang w:val="en-US" w:eastAsia="zh-CN"/>
        </w:rPr>
        <w:t>省人社厅疑点数据核查接待</w:t>
      </w:r>
      <w:r>
        <w:rPr>
          <w:rFonts w:hint="eastAsia" w:ascii="仿宋_GB2312" w:hAnsi="仿宋_GB2312" w:eastAsia="仿宋_GB2312" w:cs="仿宋_GB2312"/>
          <w:sz w:val="32"/>
          <w:szCs w:val="32"/>
          <w:lang w:val="en-US" w:eastAsia="zh-CN"/>
        </w:rPr>
        <w:t>、怀化来岳学习交流接待、湘西工保学习交流工作、平江人社局来岳处理相关业务问题接待、湖南省市州交叉检查接待、省厅社会保险基金监督检查接待、娄底社保中心核查疑点数据接待、省人社厅政务管理服务与行风建设工作专班接待、省社保中心基金安全管理交叉检查接待、北海市社保中心学习交流接待</w:t>
      </w:r>
      <w:r>
        <w:rPr>
          <w:rFonts w:hint="eastAsia" w:ascii="仿宋_GB2312" w:hAnsi="仿宋_GB2312" w:eastAsia="仿宋_GB2312" w:cs="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val="0"/>
          <w:i/>
          <w:iCs w:val="0"/>
          <w:color w:val="FF0000"/>
          <w:kern w:val="0"/>
          <w:sz w:val="32"/>
          <w:szCs w:val="32"/>
          <w:lang w:val="en-US" w:eastAsia="zh-CN"/>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kern w:val="2"/>
          <w:sz w:val="32"/>
          <w:szCs w:val="32"/>
          <w:lang w:val="en-US" w:eastAsia="zh-CN" w:bidi="ar-SA"/>
        </w:rPr>
        <w:t>当年没有购置公务用车。</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163.47</w:t>
      </w:r>
      <w:r>
        <w:rPr>
          <w:rFonts w:hint="eastAsia" w:ascii="仿宋_GB2312" w:hAnsi="仿宋_GB2312" w:eastAsia="仿宋_GB2312" w:cs="仿宋_GB2312"/>
          <w:sz w:val="32"/>
          <w:szCs w:val="32"/>
        </w:rPr>
        <w:t>万元，比上年决算数减少</w:t>
      </w:r>
      <w:r>
        <w:rPr>
          <w:rFonts w:hint="eastAsia" w:ascii="仿宋_GB2312" w:hAnsi="仿宋_GB2312" w:eastAsia="仿宋_GB2312" w:cs="仿宋_GB2312"/>
          <w:sz w:val="32"/>
          <w:szCs w:val="32"/>
          <w:lang w:val="en-US" w:eastAsia="zh-CN"/>
        </w:rPr>
        <w:t>59.44</w:t>
      </w:r>
      <w:r>
        <w:rPr>
          <w:rFonts w:hint="eastAsia" w:ascii="仿宋_GB2312" w:hAnsi="仿宋_GB2312" w:eastAsia="仿宋_GB2312" w:cs="仿宋_GB2312"/>
          <w:sz w:val="32"/>
          <w:szCs w:val="32"/>
        </w:rPr>
        <w:t xml:space="preserve"> 万元，降低</w:t>
      </w:r>
      <w:r>
        <w:rPr>
          <w:rFonts w:hint="eastAsia" w:ascii="仿宋_GB2312" w:hAnsi="仿宋_GB2312" w:eastAsia="仿宋_GB2312" w:cs="仿宋_GB2312"/>
          <w:sz w:val="32"/>
          <w:szCs w:val="32"/>
          <w:lang w:val="en-US" w:eastAsia="zh-CN"/>
        </w:rPr>
        <w:t>26.67</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val="en-US" w:eastAsia="zh-CN"/>
        </w:rPr>
        <w:t>一是本年度预算人数减少，机关运行经费有所下降；二是本年</w:t>
      </w:r>
      <w:r>
        <w:rPr>
          <w:rFonts w:hint="eastAsia" w:ascii="仿宋_GB2312" w:hAnsi="仿宋_GB2312" w:eastAsia="仿宋_GB2312" w:cs="仿宋_GB2312"/>
          <w:color w:val="auto"/>
          <w:kern w:val="2"/>
          <w:sz w:val="32"/>
          <w:szCs w:val="32"/>
          <w:lang w:val="en-US" w:eastAsia="zh-CN" w:bidi="ar-SA"/>
        </w:rPr>
        <w:t>度部分运行经费列支在项目支出中。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2"/>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年度，会议费年初预算2万元，支出决算为1.28万元，完成年初预算的64%。用于召开2次会议，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130</w:t>
      </w:r>
      <w:r>
        <w:rPr>
          <w:rFonts w:hint="eastAsia" w:ascii="仿宋_GB2312" w:hAnsi="仿宋_GB2312" w:eastAsia="仿宋_GB2312" w:cs="仿宋_GB2312"/>
          <w:sz w:val="32"/>
          <w:szCs w:val="32"/>
        </w:rPr>
        <w:t>人</w:t>
      </w:r>
      <w:r>
        <w:rPr>
          <w:rFonts w:hint="eastAsia" w:ascii="仿宋_GB2312" w:hAnsi="仿宋_GB2312" w:eastAsia="仿宋_GB2312" w:cs="仿宋_GB2312"/>
          <w:color w:val="auto"/>
          <w:sz w:val="32"/>
          <w:szCs w:val="32"/>
        </w:rPr>
        <w:t>，内容为</w:t>
      </w:r>
      <w:r>
        <w:rPr>
          <w:rFonts w:hint="eastAsia" w:ascii="仿宋_GB2312" w:hAnsi="仿宋_GB2312" w:eastAsia="仿宋_GB2312" w:cs="仿宋_GB2312"/>
          <w:color w:val="auto"/>
          <w:sz w:val="32"/>
          <w:szCs w:val="32"/>
          <w:lang w:val="en-US" w:eastAsia="zh-CN"/>
        </w:rPr>
        <w:t>全市养老和工伤保险经办工作会议、全市养老和工伤保险经办工作半年讲评会议</w:t>
      </w:r>
      <w:r>
        <w:rPr>
          <w:rFonts w:hint="eastAsia" w:ascii="仿宋_GB2312" w:hAnsi="仿宋_GB2312" w:eastAsia="仿宋_GB2312" w:cs="仿宋_GB2312"/>
          <w:color w:val="auto"/>
          <w:sz w:val="32"/>
          <w:szCs w:val="32"/>
          <w:lang w:eastAsia="zh-CN"/>
        </w:rPr>
        <w:t>。</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培训费年初预算2万元，支出决算为1.07万元，完成年</w:t>
      </w:r>
      <w:r>
        <w:rPr>
          <w:rFonts w:hint="eastAsia" w:ascii="仿宋_GB2312" w:hAnsi="仿宋_GB2312" w:eastAsia="仿宋_GB2312" w:cs="仿宋_GB2312"/>
          <w:color w:val="auto"/>
          <w:kern w:val="0"/>
          <w:sz w:val="32"/>
          <w:szCs w:val="32"/>
          <w:lang w:val="en-US" w:eastAsia="zh-CN" w:bidi="ar-SA"/>
        </w:rPr>
        <w:t>初预算的53.5%。用于开展7次培训，人数221人，内容为省中心机保待遇衔接业务经办培训、会计</w:t>
      </w:r>
      <w:r>
        <w:rPr>
          <w:rFonts w:hint="eastAsia" w:ascii="仿宋_GB2312" w:hAnsi="仿宋_GB2312" w:eastAsia="仿宋_GB2312" w:cs="仿宋_GB2312"/>
          <w:color w:val="auto"/>
          <w:kern w:val="2"/>
          <w:sz w:val="32"/>
          <w:szCs w:val="32"/>
          <w:lang w:val="en-US" w:eastAsia="zh-CN" w:bidi="ar-SA"/>
        </w:rPr>
        <w:t>继续教育培训、</w:t>
      </w:r>
      <w:r>
        <w:rPr>
          <w:rFonts w:hint="eastAsia" w:ascii="仿宋_GB2312" w:hAnsi="仿宋_GB2312" w:eastAsia="仿宋_GB2312" w:cs="仿宋_GB2312"/>
          <w:color w:val="auto"/>
          <w:kern w:val="0"/>
          <w:sz w:val="32"/>
          <w:szCs w:val="32"/>
          <w:lang w:val="en-US" w:eastAsia="zh-CN" w:bidi="ar-SA"/>
        </w:rPr>
        <w:t>工伤事故勘察培训、全市机保业务培训、工保部分业务下沉培训、</w:t>
      </w:r>
      <w:r>
        <w:rPr>
          <w:rFonts w:hint="eastAsia" w:ascii="仿宋_GB2312" w:hAnsi="仿宋_GB2312" w:eastAsia="仿宋_GB2312" w:cs="仿宋_GB2312"/>
          <w:color w:val="auto"/>
          <w:kern w:val="2"/>
          <w:sz w:val="32"/>
          <w:szCs w:val="32"/>
          <w:lang w:val="en-US" w:eastAsia="zh-CN" w:bidi="ar-SA"/>
        </w:rPr>
        <w:t>金保二期系统上线培训、全市参保扩面培训。</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本单位无举办节庆、晚会、论坛、赛事等活动的预算和支出决算数。</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本部门202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年度政府采购支出总额</w:t>
      </w:r>
      <w:r>
        <w:rPr>
          <w:rFonts w:hint="eastAsia" w:ascii="仿宋_GB2312" w:hAnsi="仿宋_GB2312" w:eastAsia="仿宋_GB2312" w:cs="仿宋_GB2312"/>
          <w:color w:val="auto"/>
          <w:sz w:val="32"/>
          <w:szCs w:val="32"/>
          <w:lang w:val="en-US" w:eastAsia="zh-CN"/>
        </w:rPr>
        <w:t>321.64</w:t>
      </w:r>
      <w:r>
        <w:rPr>
          <w:rFonts w:hint="eastAsia" w:ascii="仿宋_GB2312" w:hAnsi="仿宋_GB2312" w:eastAsia="仿宋_GB2312" w:cs="仿宋_GB2312"/>
          <w:color w:val="auto"/>
          <w:sz w:val="32"/>
          <w:szCs w:val="32"/>
        </w:rPr>
        <w:t>万元，其中：政府采购货物支出</w:t>
      </w:r>
      <w:r>
        <w:rPr>
          <w:rFonts w:hint="eastAsia" w:ascii="仿宋_GB2312" w:hAnsi="仿宋_GB2312" w:eastAsia="仿宋_GB2312" w:cs="仿宋_GB2312"/>
          <w:color w:val="auto"/>
          <w:sz w:val="32"/>
          <w:szCs w:val="32"/>
          <w:lang w:val="en-US" w:eastAsia="zh-CN"/>
        </w:rPr>
        <w:t>321.64</w:t>
      </w:r>
      <w:r>
        <w:rPr>
          <w:rFonts w:hint="eastAsia" w:ascii="仿宋_GB2312" w:hAnsi="仿宋_GB2312" w:eastAsia="仿宋_GB2312" w:cs="仿宋_GB2312"/>
          <w:color w:val="auto"/>
          <w:sz w:val="32"/>
          <w:szCs w:val="32"/>
        </w:rPr>
        <w:t>万元、政府采购工程支出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万元、政府采购服务支出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万元。授予中小企业合同金额</w:t>
      </w:r>
      <w:r>
        <w:rPr>
          <w:rFonts w:hint="eastAsia" w:ascii="仿宋_GB2312" w:hAnsi="仿宋_GB2312" w:eastAsia="仿宋_GB2312" w:cs="仿宋_GB2312"/>
          <w:color w:val="auto"/>
          <w:sz w:val="32"/>
          <w:szCs w:val="32"/>
          <w:lang w:val="en-US" w:eastAsia="zh-CN"/>
        </w:rPr>
        <w:t>321.64</w:t>
      </w:r>
      <w:r>
        <w:rPr>
          <w:rFonts w:hint="eastAsia" w:ascii="仿宋_GB2312" w:hAnsi="仿宋_GB2312" w:eastAsia="仿宋_GB2312" w:cs="仿宋_GB2312"/>
          <w:color w:val="auto"/>
          <w:sz w:val="32"/>
          <w:szCs w:val="32"/>
        </w:rPr>
        <w:t>万元，占政府采购支出总额的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%，其中：授予小微企业合同金额</w:t>
      </w:r>
      <w:r>
        <w:rPr>
          <w:rFonts w:hint="eastAsia" w:ascii="仿宋_GB2312" w:hAnsi="仿宋_GB2312" w:eastAsia="仿宋_GB2312" w:cs="仿宋_GB2312"/>
          <w:color w:val="auto"/>
          <w:sz w:val="32"/>
          <w:szCs w:val="32"/>
          <w:lang w:val="en-US" w:eastAsia="zh-CN"/>
        </w:rPr>
        <w:t>321.64</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截至2023年12月31日，本单位共有车辆0辆，其中，副部（省）级及以上领导用车0辆、主要负责人用车0辆、机要通信用车0辆、应急保障用车0辆、执法执勤用车0辆、特种专业技术用车0辆、离退休干部服务用车0辆、其他用车0辆；单位价值100万元以上设备（不含车辆）0台（套）。</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1668.54万元，政府性基金预算支出0万元，国有资本经营预算支出73.59万元。从评价情况来看，整体支出绩效评价中，2023年整体支出1745.26万元，其中：基本支出1440.18万元，项目支出305.08万元，本单位整体支出绩效自评综合评分99分，评价结果等次为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3个，共涉及资金60万元，占一般公共预算项目支出总额的25.92%。组织对政府性基金预算项目支出开展绩效自评，项目0个，共涉及资金0万元，由于政府性基金预算项目支出总额为0万元，故无法计算占政府性基金预算项目支出总额的比重。组织对国有资本经营预算项目支出开展绩效自评，项目1个，共涉及资金73.59万元，占国有资本经营预算项目支出总额的100%。从评价情况来看，项目绩效自评得分100分，评价结果等次为优。</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根据年初设定的绩效目标，绩效自评得分为99分。全年预算数为1745.26万元，执行数为1745.26 万元，完成预算的100%。绩效目标完成情况：一是市本级企业养老、机关养老、工伤保险在职参保人数达35万人；二是做好市本级14.5万退休人员服务工作，全年举办温暖社保活动12次；三是全年发放养老保险、工伤保险待遇54.18亿元；四是养老保险、工伤保险待遇发放率为100%；</w:t>
      </w:r>
      <w:r>
        <w:rPr>
          <w:rFonts w:hint="eastAsia" w:ascii="仿宋_GB2312" w:hAnsi="仿宋_GB2312" w:eastAsia="仿宋_GB2312" w:cs="仿宋_GB2312"/>
          <w:color w:val="auto"/>
          <w:kern w:val="2"/>
          <w:sz w:val="32"/>
          <w:szCs w:val="32"/>
          <w:lang w:val="en-US" w:eastAsia="zh-CN" w:bidi="ar-SA"/>
        </w:rPr>
        <w:t>五是确保了基金安全完整；六是稳步落实各项惠民政策，切实维护广大参保群众的合法权益，社会经济实现可持续发展；七是服务对象满意度达100%。</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仿宋_GB2312" w:hAnsi="仿宋_GB2312" w:eastAsia="仿宋_GB2312" w:cs="仿宋_GB2312"/>
          <w:b w:val="0"/>
          <w:bCs w:val="0"/>
          <w:sz w:val="32"/>
          <w:szCs w:val="32"/>
          <w:lang w:val="en-US" w:eastAsia="zh-CN"/>
        </w:rPr>
        <w:t>存在的主要问题及原因：</w:t>
      </w:r>
      <w:r>
        <w:rPr>
          <w:rFonts w:hint="default" w:ascii="仿宋_GB2312" w:hAnsi="仿宋_GB2312" w:eastAsia="仿宋_GB2312" w:cs="仿宋_GB2312"/>
          <w:b w:val="0"/>
          <w:bCs w:val="0"/>
          <w:sz w:val="32"/>
          <w:szCs w:val="32"/>
          <w:lang w:val="en-US" w:eastAsia="zh-CN"/>
        </w:rPr>
        <w:t>一是养老保险参保扩面和提高缴费率有一定难度</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二是追缴违规领取社保基金有一定难度。</w:t>
      </w:r>
      <w:r>
        <w:rPr>
          <w:rFonts w:hint="eastAsia" w:ascii="仿宋_GB2312" w:hAnsi="仿宋_GB2312" w:eastAsia="仿宋_GB2312" w:cs="仿宋_GB2312"/>
          <w:b w:val="0"/>
          <w:bCs w:val="0"/>
          <w:sz w:val="32"/>
          <w:szCs w:val="32"/>
          <w:lang w:val="en-US" w:eastAsia="zh-CN"/>
        </w:rPr>
        <w:t>下一步改进措施：一是</w:t>
      </w:r>
      <w:r>
        <w:rPr>
          <w:rFonts w:hint="default" w:ascii="Times New Roman" w:hAnsi="Times New Roman" w:eastAsia="仿宋_GB2312" w:cs="Times New Roman"/>
          <w:sz w:val="32"/>
          <w:szCs w:val="32"/>
          <w:highlight w:val="none"/>
        </w:rPr>
        <w:t>坚持党建引领。把党的政治建设摆在首位，把旗帜鲜明讲政治贯穿于经办工作的全过程、各方面，守好意识形态工作主阵地</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二是</w:t>
      </w:r>
      <w:r>
        <w:rPr>
          <w:rFonts w:hint="default" w:ascii="Times New Roman" w:hAnsi="Times New Roman" w:eastAsia="仿宋_GB2312" w:cs="Times New Roman"/>
          <w:sz w:val="32"/>
          <w:szCs w:val="32"/>
          <w:highlight w:val="none"/>
        </w:rPr>
        <w:t>提升社会保障。聚焦“温暖社保”行动计划，加大全面参保专项行动力度。</w:t>
      </w:r>
      <w:r>
        <w:rPr>
          <w:rFonts w:hint="eastAsia" w:ascii="Times New Roman" w:hAnsi="Times New Roman" w:eastAsia="仿宋_GB2312" w:cs="Times New Roman"/>
          <w:sz w:val="32"/>
          <w:szCs w:val="32"/>
          <w:highlight w:val="none"/>
          <w:lang w:val="en-US" w:eastAsia="zh-CN"/>
        </w:rPr>
        <w:t>三是</w:t>
      </w:r>
      <w:r>
        <w:rPr>
          <w:rFonts w:hint="default" w:ascii="Times New Roman" w:hAnsi="Times New Roman" w:eastAsia="仿宋_GB2312" w:cs="Times New Roman"/>
          <w:sz w:val="32"/>
          <w:szCs w:val="32"/>
          <w:highlight w:val="none"/>
        </w:rPr>
        <w:t>维护基金安全。严肃查处违规骗取社会保险待遇违法违纪行为</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改进工作方法，杜绝基金流失行为</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四是</w:t>
      </w:r>
      <w:r>
        <w:rPr>
          <w:rFonts w:hint="default" w:ascii="Times New Roman" w:hAnsi="Times New Roman" w:eastAsia="仿宋_GB2312" w:cs="Times New Roman"/>
          <w:sz w:val="32"/>
          <w:szCs w:val="32"/>
          <w:highlight w:val="none"/>
        </w:rPr>
        <w:t>突出创先争优。严格落实考核机制，推动我市社会保障事业高质量、可持续发展。</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sz w:val="72"/>
          <w:szCs w:val="72"/>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12"/>
        <w:jc w:val="center"/>
        <w:rPr>
          <w:sz w:val="72"/>
          <w:szCs w:val="72"/>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Pr>
        <w:pStyle w:val="3"/>
      </w:pPr>
    </w:p>
    <w:p/>
    <w:p>
      <w:pPr>
        <w:pStyle w:val="7"/>
      </w:pPr>
    </w:p>
    <w:p/>
    <w:p>
      <w:pPr>
        <w:pStyle w:val="7"/>
      </w:pPr>
    </w:p>
    <w:p>
      <w:pPr>
        <w:widowControl/>
        <w:ind w:firstLine="640" w:firstLineChars="200"/>
        <w:jc w:val="left"/>
        <w:rPr>
          <w:rFonts w:hint="default" w:eastAsia="仿宋_GB2312"/>
          <w:kern w:val="0"/>
          <w:sz w:val="32"/>
          <w:szCs w:val="24"/>
        </w:rPr>
      </w:pPr>
      <w:r>
        <w:rPr>
          <w:rFonts w:hint="eastAsia" w:eastAsia="仿宋_GB2312"/>
          <w:b/>
          <w:kern w:val="0"/>
          <w:sz w:val="32"/>
          <w:szCs w:val="24"/>
          <w:lang w:eastAsia="zh-CN"/>
        </w:rPr>
        <w:t>一、</w:t>
      </w:r>
      <w:r>
        <w:rPr>
          <w:rFonts w:hint="eastAsia" w:eastAsia="仿宋_GB2312"/>
          <w:b/>
          <w:kern w:val="0"/>
          <w:sz w:val="32"/>
          <w:szCs w:val="24"/>
        </w:rPr>
        <w:t>财政拨款收入：</w:t>
      </w:r>
      <w:r>
        <w:rPr>
          <w:rFonts w:hint="eastAsia" w:eastAsia="仿宋_GB2312"/>
          <w:kern w:val="0"/>
          <w:sz w:val="32"/>
          <w:szCs w:val="24"/>
        </w:rPr>
        <w:t>指本级财政当年拨付的资金。</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二、</w:t>
      </w:r>
      <w:r>
        <w:rPr>
          <w:rFonts w:hint="eastAsia" w:eastAsia="仿宋_GB2312"/>
          <w:b/>
          <w:kern w:val="0"/>
          <w:sz w:val="32"/>
          <w:szCs w:val="24"/>
        </w:rPr>
        <w:t>上年结转和结余：</w:t>
      </w:r>
      <w:r>
        <w:rPr>
          <w:rFonts w:hint="eastAsia" w:eastAsia="仿宋_GB2312"/>
          <w:kern w:val="0"/>
          <w:sz w:val="32"/>
          <w:szCs w:val="24"/>
        </w:rPr>
        <w:t>指以前年度尚未完成、结转到本年按有关规定继续使用的资金。</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三、</w:t>
      </w:r>
      <w:r>
        <w:rPr>
          <w:rFonts w:hint="eastAsia" w:eastAsia="仿宋_GB2312"/>
          <w:b/>
          <w:kern w:val="0"/>
          <w:sz w:val="32"/>
          <w:szCs w:val="24"/>
        </w:rPr>
        <w:t>年末结转和结余资金：</w:t>
      </w:r>
      <w:r>
        <w:rPr>
          <w:rFonts w:hint="eastAsia" w:eastAsia="仿宋_GB2312"/>
          <w:kern w:val="0"/>
          <w:sz w:val="32"/>
          <w:szCs w:val="24"/>
        </w:rPr>
        <w:t>指本年度或以前年度预算安排、因客观条件发生变化无法按原计划实施，需要延迟到以后年度按有关规定继续使用的资金。</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四、</w:t>
      </w:r>
      <w:r>
        <w:rPr>
          <w:rFonts w:hint="eastAsia" w:eastAsia="仿宋_GB2312"/>
          <w:b/>
          <w:kern w:val="0"/>
          <w:sz w:val="32"/>
          <w:szCs w:val="24"/>
        </w:rPr>
        <w:t>社会保障和就业支出（类）：</w:t>
      </w:r>
      <w:r>
        <w:rPr>
          <w:rFonts w:hint="eastAsia" w:eastAsia="仿宋_GB2312"/>
          <w:kern w:val="0"/>
          <w:sz w:val="32"/>
          <w:szCs w:val="24"/>
        </w:rPr>
        <w:t>是指用于社会保障和就业方面的支出，包括保障机构正常运转、完成日常和特定的工作任务或事业发展目标的支出。归口管理的行政单位离退休，指离退休人员管理机构统一管理的机关离退休人员的经费。</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五、</w:t>
      </w:r>
      <w:r>
        <w:rPr>
          <w:rFonts w:hint="eastAsia" w:eastAsia="仿宋_GB2312"/>
          <w:b/>
          <w:kern w:val="0"/>
          <w:sz w:val="32"/>
          <w:szCs w:val="24"/>
        </w:rPr>
        <w:t>卫生健康支出（类）：</w:t>
      </w:r>
      <w:r>
        <w:rPr>
          <w:rFonts w:hint="eastAsia" w:eastAsia="仿宋_GB2312"/>
          <w:kern w:val="0"/>
          <w:sz w:val="32"/>
          <w:szCs w:val="24"/>
        </w:rPr>
        <w:t>是指用于医疗卫生与计划生育方面的支出，包括保障机构正常运转、完成日常和特定的工作任务或事业发展目标的支出。</w:t>
      </w:r>
    </w:p>
    <w:p>
      <w:pPr>
        <w:topLinePunct/>
        <w:spacing w:beforeLines="0" w:afterLines="0" w:line="600" w:lineRule="exact"/>
        <w:ind w:firstLine="640" w:firstLineChars="200"/>
        <w:rPr>
          <w:rFonts w:hint="eastAsia" w:eastAsia="仿宋_GB2312"/>
          <w:kern w:val="0"/>
          <w:sz w:val="32"/>
          <w:szCs w:val="24"/>
        </w:rPr>
      </w:pPr>
      <w:r>
        <w:rPr>
          <w:rFonts w:hint="eastAsia" w:eastAsia="仿宋_GB2312"/>
          <w:b/>
          <w:kern w:val="0"/>
          <w:sz w:val="32"/>
          <w:szCs w:val="24"/>
          <w:lang w:eastAsia="zh-CN"/>
        </w:rPr>
        <w:t>六、</w:t>
      </w:r>
      <w:r>
        <w:rPr>
          <w:rFonts w:hint="eastAsia" w:eastAsia="仿宋_GB2312"/>
          <w:b/>
          <w:kern w:val="0"/>
          <w:sz w:val="32"/>
          <w:szCs w:val="24"/>
        </w:rPr>
        <w:t>基本支出：</w:t>
      </w:r>
      <w:r>
        <w:rPr>
          <w:rFonts w:hint="eastAsia" w:eastAsia="仿宋_GB2312"/>
          <w:kern w:val="0"/>
          <w:sz w:val="32"/>
          <w:szCs w:val="24"/>
        </w:rPr>
        <w:t>指保障机构正常运转、完成日常工作任务而发生的人员支出和公用支出。</w:t>
      </w:r>
    </w:p>
    <w:p>
      <w:pPr>
        <w:topLinePunct/>
        <w:spacing w:beforeLines="0" w:afterLines="0" w:line="600" w:lineRule="exact"/>
        <w:ind w:firstLine="640" w:firstLineChars="200"/>
        <w:rPr>
          <w:rFonts w:hint="eastAsia"/>
          <w:color w:val="000000"/>
          <w:kern w:val="0"/>
          <w:sz w:val="32"/>
          <w:szCs w:val="24"/>
        </w:rPr>
      </w:pPr>
      <w:r>
        <w:rPr>
          <w:rFonts w:hint="eastAsia" w:eastAsia="仿宋_GB2312"/>
          <w:b/>
          <w:kern w:val="0"/>
          <w:sz w:val="32"/>
          <w:szCs w:val="24"/>
          <w:lang w:eastAsia="zh-CN"/>
        </w:rPr>
        <w:t>七、</w:t>
      </w:r>
      <w:r>
        <w:rPr>
          <w:rFonts w:hint="default" w:eastAsia="仿宋_GB2312"/>
          <w:b/>
          <w:kern w:val="0"/>
          <w:sz w:val="32"/>
          <w:szCs w:val="24"/>
        </w:rPr>
        <w:t>“</w:t>
      </w:r>
      <w:r>
        <w:rPr>
          <w:rFonts w:hint="eastAsia" w:eastAsia="仿宋_GB2312"/>
          <w:b/>
          <w:kern w:val="0"/>
          <w:sz w:val="32"/>
          <w:szCs w:val="24"/>
        </w:rPr>
        <w:t>三公</w:t>
      </w:r>
      <w:r>
        <w:rPr>
          <w:rFonts w:hint="default" w:eastAsia="仿宋_GB2312"/>
          <w:b/>
          <w:kern w:val="0"/>
          <w:sz w:val="32"/>
          <w:szCs w:val="24"/>
        </w:rPr>
        <w:t>”</w:t>
      </w:r>
      <w:r>
        <w:rPr>
          <w:rFonts w:hint="eastAsia" w:eastAsia="仿宋_GB2312"/>
          <w:b/>
          <w:kern w:val="0"/>
          <w:sz w:val="32"/>
          <w:szCs w:val="24"/>
        </w:rPr>
        <w:t>经费：</w:t>
      </w:r>
      <w:r>
        <w:rPr>
          <w:rFonts w:hint="eastAsia" w:eastAsia="仿宋_GB2312"/>
          <w:kern w:val="0"/>
          <w:sz w:val="32"/>
          <w:szCs w:val="24"/>
        </w:rPr>
        <w:t>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八、</w:t>
      </w:r>
      <w:r>
        <w:rPr>
          <w:rFonts w:hint="eastAsia" w:eastAsia="仿宋_GB2312"/>
          <w:b/>
          <w:kern w:val="0"/>
          <w:sz w:val="32"/>
          <w:szCs w:val="24"/>
        </w:rPr>
        <w:t>工资福利支出：</w:t>
      </w:r>
      <w:r>
        <w:rPr>
          <w:rFonts w:hint="eastAsia" w:eastAsia="仿宋_GB2312"/>
          <w:kern w:val="0"/>
          <w:sz w:val="32"/>
          <w:szCs w:val="24"/>
        </w:rPr>
        <w:t>反映单位开支的在职职工和编制外长期聘用人员的各类劳动报酬，以及为上述人员缴纳的各项社会保险费等。</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九、</w:t>
      </w:r>
      <w:r>
        <w:rPr>
          <w:rFonts w:hint="eastAsia" w:eastAsia="仿宋_GB2312"/>
          <w:b/>
          <w:kern w:val="0"/>
          <w:sz w:val="32"/>
          <w:szCs w:val="24"/>
        </w:rPr>
        <w:t>基本工资：</w:t>
      </w:r>
      <w:r>
        <w:rPr>
          <w:rFonts w:hint="eastAsia" w:eastAsia="仿宋_GB2312"/>
          <w:kern w:val="0"/>
          <w:sz w:val="32"/>
          <w:szCs w:val="24"/>
        </w:rPr>
        <w:t>反映按规定发放的基本工资，包括公务员的职务工资、级别工资；机关工人的岗位工资、技术等级工资；事业单位工作人员的岗位工资、薪级工资；各类学校毕业生试用期</w:t>
      </w:r>
      <w:r>
        <w:rPr>
          <w:rFonts w:hint="default" w:eastAsia="仿宋_GB2312"/>
          <w:kern w:val="0"/>
          <w:sz w:val="32"/>
          <w:szCs w:val="24"/>
        </w:rPr>
        <w:t>(</w:t>
      </w:r>
      <w:r>
        <w:rPr>
          <w:rFonts w:hint="eastAsia" w:eastAsia="仿宋_GB2312"/>
          <w:kern w:val="0"/>
          <w:sz w:val="32"/>
          <w:szCs w:val="24"/>
        </w:rPr>
        <w:t>见习期</w:t>
      </w:r>
      <w:r>
        <w:rPr>
          <w:rFonts w:hint="default" w:eastAsia="仿宋_GB2312"/>
          <w:kern w:val="0"/>
          <w:sz w:val="32"/>
          <w:szCs w:val="24"/>
        </w:rPr>
        <w:t>)</w:t>
      </w:r>
      <w:r>
        <w:rPr>
          <w:rFonts w:hint="eastAsia" w:eastAsia="仿宋_GB2312"/>
          <w:kern w:val="0"/>
          <w:sz w:val="32"/>
          <w:szCs w:val="24"/>
        </w:rPr>
        <w:t>工资、新参加工作工人学徒期、熟练期工资；军队（武警）军官、文职干部的职务（专业技术等级）工资、军衔（级别）工资、基础工资和军龄工资；军队士官的军衔等级工资、基础工资和军龄工资等。</w:t>
      </w:r>
    </w:p>
    <w:p>
      <w:pPr>
        <w:topLinePunct/>
        <w:spacing w:beforeLines="0" w:afterLines="0" w:line="600" w:lineRule="exact"/>
        <w:ind w:firstLine="640" w:firstLineChars="200"/>
        <w:rPr>
          <w:rFonts w:hint="eastAsia" w:eastAsia="仿宋_GB2312"/>
          <w:kern w:val="0"/>
          <w:sz w:val="32"/>
          <w:szCs w:val="24"/>
        </w:rPr>
      </w:pPr>
      <w:r>
        <w:rPr>
          <w:rFonts w:hint="eastAsia" w:eastAsia="仿宋_GB2312"/>
          <w:b/>
          <w:kern w:val="0"/>
          <w:sz w:val="32"/>
          <w:szCs w:val="24"/>
          <w:lang w:eastAsia="zh-CN"/>
        </w:rPr>
        <w:t>十、</w:t>
      </w:r>
      <w:r>
        <w:rPr>
          <w:rFonts w:hint="eastAsia" w:eastAsia="仿宋_GB2312"/>
          <w:b/>
          <w:kern w:val="0"/>
          <w:sz w:val="32"/>
          <w:szCs w:val="24"/>
        </w:rPr>
        <w:t>奖金：</w:t>
      </w:r>
      <w:r>
        <w:rPr>
          <w:rFonts w:hint="eastAsia" w:eastAsia="仿宋_GB2312"/>
          <w:kern w:val="0"/>
          <w:sz w:val="32"/>
          <w:szCs w:val="24"/>
        </w:rPr>
        <w:t>反映机关工作人员年终一次性奖金。</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十一、</w:t>
      </w:r>
      <w:r>
        <w:rPr>
          <w:rFonts w:hint="eastAsia" w:eastAsia="仿宋_GB2312"/>
          <w:b/>
          <w:kern w:val="0"/>
          <w:sz w:val="32"/>
          <w:szCs w:val="24"/>
        </w:rPr>
        <w:t>机关事业单位基本养老保险缴费：</w:t>
      </w:r>
      <w:r>
        <w:rPr>
          <w:rFonts w:hint="eastAsia" w:eastAsia="仿宋_GB2312"/>
          <w:kern w:val="0"/>
          <w:sz w:val="32"/>
          <w:szCs w:val="24"/>
        </w:rPr>
        <w:t>反映机关事业单位缴纳的基本养老保险费。由单位代扣的工作人员基本养老保险缴费，不在此科目反映。</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十二、</w:t>
      </w:r>
      <w:r>
        <w:rPr>
          <w:rFonts w:hint="eastAsia" w:eastAsia="仿宋_GB2312"/>
          <w:b/>
          <w:kern w:val="0"/>
          <w:sz w:val="32"/>
          <w:szCs w:val="24"/>
        </w:rPr>
        <w:t>职业年金缴费：</w:t>
      </w:r>
      <w:r>
        <w:rPr>
          <w:rFonts w:hint="eastAsia" w:eastAsia="仿宋_GB2312"/>
          <w:kern w:val="0"/>
          <w:sz w:val="32"/>
          <w:szCs w:val="24"/>
        </w:rPr>
        <w:t>反映机关事业单位实际缴纳的职业年金支出。由单位代扣的工作人员职业年金缴费，不在此科目反映。</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十三、</w:t>
      </w:r>
      <w:r>
        <w:rPr>
          <w:rFonts w:hint="eastAsia" w:eastAsia="仿宋_GB2312"/>
          <w:b/>
          <w:kern w:val="0"/>
          <w:sz w:val="32"/>
          <w:szCs w:val="24"/>
        </w:rPr>
        <w:t>职工基本医疗保险缴费：</w:t>
      </w:r>
      <w:r>
        <w:rPr>
          <w:rFonts w:hint="eastAsia" w:eastAsia="仿宋_GB2312"/>
          <w:kern w:val="0"/>
          <w:sz w:val="32"/>
          <w:szCs w:val="24"/>
        </w:rPr>
        <w:t>反映单位为职工缴纳的基本医疗保险费。</w:t>
      </w:r>
    </w:p>
    <w:p>
      <w:pPr>
        <w:topLinePunct/>
        <w:spacing w:beforeLines="0" w:afterLines="0" w:line="600" w:lineRule="exact"/>
        <w:ind w:firstLine="640" w:firstLineChars="200"/>
        <w:rPr>
          <w:rFonts w:hint="eastAsia" w:eastAsia="仿宋_GB2312"/>
          <w:kern w:val="0"/>
          <w:sz w:val="32"/>
          <w:szCs w:val="24"/>
        </w:rPr>
      </w:pPr>
      <w:r>
        <w:rPr>
          <w:rFonts w:hint="eastAsia" w:eastAsia="仿宋_GB2312"/>
          <w:b/>
          <w:kern w:val="0"/>
          <w:sz w:val="32"/>
          <w:szCs w:val="24"/>
          <w:lang w:eastAsia="zh-CN"/>
        </w:rPr>
        <w:t>十四、</w:t>
      </w:r>
      <w:r>
        <w:rPr>
          <w:rFonts w:hint="eastAsia" w:eastAsia="仿宋_GB2312"/>
          <w:b/>
          <w:kern w:val="0"/>
          <w:sz w:val="32"/>
          <w:szCs w:val="24"/>
        </w:rPr>
        <w:t>其他社会保障缴费：</w:t>
      </w:r>
      <w:r>
        <w:rPr>
          <w:rFonts w:hint="eastAsia" w:eastAsia="仿宋_GB2312"/>
          <w:kern w:val="0"/>
          <w:sz w:val="32"/>
          <w:szCs w:val="24"/>
        </w:rPr>
        <w:t>反映单位为职工缴纳的基本医疗、失业、工伤、生育等社会保险费，残疾人就业保障金，军队（含武警）为军人缴纳的伤亡、退役医疗等社会保险费。</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十五、</w:t>
      </w:r>
      <w:r>
        <w:rPr>
          <w:rFonts w:hint="eastAsia" w:eastAsia="仿宋_GB2312"/>
          <w:b/>
          <w:kern w:val="0"/>
          <w:sz w:val="32"/>
          <w:szCs w:val="24"/>
        </w:rPr>
        <w:t>住房公积金：</w:t>
      </w:r>
      <w:r>
        <w:rPr>
          <w:rFonts w:hint="eastAsia" w:eastAsia="仿宋_GB2312"/>
          <w:kern w:val="0"/>
          <w:sz w:val="32"/>
          <w:szCs w:val="24"/>
        </w:rPr>
        <w:t>反映行政事业单位按人力资源和社会保障部、财政部规定的基本工资和津贴补贴以及规定比例为职工缴纳的住房公积金。</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十六、</w:t>
      </w:r>
      <w:r>
        <w:rPr>
          <w:rFonts w:hint="eastAsia" w:eastAsia="仿宋_GB2312"/>
          <w:b/>
          <w:kern w:val="0"/>
          <w:sz w:val="32"/>
          <w:szCs w:val="24"/>
        </w:rPr>
        <w:t>医疗费：</w:t>
      </w:r>
      <w:r>
        <w:rPr>
          <w:rFonts w:hint="eastAsia" w:eastAsia="仿宋_GB2312"/>
          <w:kern w:val="0"/>
          <w:sz w:val="32"/>
          <w:szCs w:val="24"/>
        </w:rPr>
        <w:t>反映未参加医疗保险单位的医疗经费和单位按规定为职工支出的其他医疗费用。</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十七、</w:t>
      </w:r>
      <w:r>
        <w:rPr>
          <w:rFonts w:hint="eastAsia" w:eastAsia="仿宋_GB2312"/>
          <w:b/>
          <w:kern w:val="0"/>
          <w:sz w:val="32"/>
          <w:szCs w:val="24"/>
        </w:rPr>
        <w:t>其他工资福利支出：</w:t>
      </w:r>
      <w:r>
        <w:rPr>
          <w:rFonts w:hint="eastAsia" w:eastAsia="仿宋_GB2312"/>
          <w:kern w:val="0"/>
          <w:sz w:val="32"/>
          <w:szCs w:val="24"/>
        </w:rPr>
        <w:t>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十八、</w:t>
      </w:r>
      <w:r>
        <w:rPr>
          <w:rFonts w:hint="eastAsia" w:eastAsia="仿宋_GB2312"/>
          <w:b/>
          <w:kern w:val="0"/>
          <w:sz w:val="32"/>
          <w:szCs w:val="24"/>
        </w:rPr>
        <w:t>商品和服务支出：</w:t>
      </w:r>
      <w:r>
        <w:rPr>
          <w:rFonts w:hint="eastAsia" w:eastAsia="仿宋_GB2312"/>
          <w:kern w:val="0"/>
          <w:sz w:val="32"/>
          <w:szCs w:val="24"/>
        </w:rPr>
        <w:t>反映单位购买商品和服务的支出（不包括用于购置固定资产的支出、战略性和应急储备支出）。</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十九、</w:t>
      </w:r>
      <w:r>
        <w:rPr>
          <w:rFonts w:hint="eastAsia" w:eastAsia="仿宋_GB2312"/>
          <w:b/>
          <w:kern w:val="0"/>
          <w:sz w:val="32"/>
          <w:szCs w:val="24"/>
        </w:rPr>
        <w:t>办公费：</w:t>
      </w:r>
      <w:r>
        <w:rPr>
          <w:rFonts w:hint="eastAsia" w:eastAsia="仿宋_GB2312"/>
          <w:kern w:val="0"/>
          <w:sz w:val="32"/>
          <w:szCs w:val="24"/>
        </w:rPr>
        <w:t>反映单位购买按财务会计制度规定不符合固定资产确认标准的日常办公用品、书报杂志等支出。</w:t>
      </w:r>
    </w:p>
    <w:p>
      <w:pPr>
        <w:topLinePunct/>
        <w:spacing w:beforeLines="0" w:afterLines="0" w:line="600" w:lineRule="exact"/>
        <w:ind w:firstLine="640" w:firstLineChars="200"/>
        <w:rPr>
          <w:rFonts w:hint="eastAsia" w:eastAsia="仿宋_GB2312"/>
          <w:kern w:val="0"/>
          <w:sz w:val="32"/>
          <w:szCs w:val="24"/>
        </w:rPr>
      </w:pPr>
      <w:r>
        <w:rPr>
          <w:rFonts w:hint="eastAsia" w:eastAsia="仿宋_GB2312"/>
          <w:b/>
          <w:kern w:val="0"/>
          <w:sz w:val="32"/>
          <w:szCs w:val="24"/>
          <w:lang w:eastAsia="zh-CN"/>
        </w:rPr>
        <w:t>二十、</w:t>
      </w:r>
      <w:r>
        <w:rPr>
          <w:rFonts w:hint="eastAsia" w:eastAsia="仿宋_GB2312"/>
          <w:b/>
          <w:kern w:val="0"/>
          <w:sz w:val="32"/>
          <w:szCs w:val="24"/>
        </w:rPr>
        <w:t>印刷费：</w:t>
      </w:r>
      <w:r>
        <w:rPr>
          <w:rFonts w:hint="eastAsia" w:eastAsia="仿宋_GB2312"/>
          <w:kern w:val="0"/>
          <w:sz w:val="32"/>
          <w:szCs w:val="24"/>
        </w:rPr>
        <w:t>反映单位的印刷费支出。</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二十一、</w:t>
      </w:r>
      <w:r>
        <w:rPr>
          <w:rFonts w:hint="eastAsia" w:eastAsia="仿宋_GB2312"/>
          <w:b/>
          <w:kern w:val="0"/>
          <w:sz w:val="32"/>
          <w:szCs w:val="24"/>
        </w:rPr>
        <w:t>水费：</w:t>
      </w:r>
      <w:r>
        <w:rPr>
          <w:rFonts w:hint="eastAsia" w:eastAsia="仿宋_GB2312"/>
          <w:kern w:val="0"/>
          <w:sz w:val="32"/>
          <w:szCs w:val="24"/>
        </w:rPr>
        <w:t>反映单位支付的水费、污水处理费等支出。</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二十二、</w:t>
      </w:r>
      <w:r>
        <w:rPr>
          <w:rFonts w:hint="eastAsia" w:eastAsia="仿宋_GB2312"/>
          <w:b/>
          <w:kern w:val="0"/>
          <w:sz w:val="32"/>
          <w:szCs w:val="24"/>
        </w:rPr>
        <w:t>电费：</w:t>
      </w:r>
      <w:r>
        <w:rPr>
          <w:rFonts w:hint="eastAsia" w:eastAsia="仿宋_GB2312"/>
          <w:kern w:val="0"/>
          <w:sz w:val="32"/>
          <w:szCs w:val="24"/>
        </w:rPr>
        <w:t>反映单位的电费支出。</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二十三、</w:t>
      </w:r>
      <w:r>
        <w:rPr>
          <w:rFonts w:hint="eastAsia" w:eastAsia="仿宋_GB2312"/>
          <w:b/>
          <w:kern w:val="0"/>
          <w:sz w:val="32"/>
          <w:szCs w:val="24"/>
        </w:rPr>
        <w:t>邮电费：</w:t>
      </w:r>
      <w:r>
        <w:rPr>
          <w:rFonts w:hint="eastAsia" w:eastAsia="仿宋_GB2312"/>
          <w:kern w:val="0"/>
          <w:sz w:val="32"/>
          <w:szCs w:val="24"/>
        </w:rPr>
        <w:t>反映单位开支的信函、包裹、货物等物品的邮寄费及电话费、电报费、传真费、网络通讯费等。</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二十四、</w:t>
      </w:r>
      <w:r>
        <w:rPr>
          <w:rFonts w:hint="eastAsia" w:eastAsia="仿宋_GB2312"/>
          <w:b/>
          <w:kern w:val="0"/>
          <w:sz w:val="32"/>
          <w:szCs w:val="24"/>
        </w:rPr>
        <w:t>物业管理费：</w:t>
      </w:r>
      <w:r>
        <w:rPr>
          <w:rFonts w:hint="eastAsia" w:eastAsia="仿宋_GB2312"/>
          <w:kern w:val="0"/>
          <w:sz w:val="32"/>
          <w:szCs w:val="24"/>
        </w:rPr>
        <w:t>反映单位开支的办公用房以及未实行职工住宅物业服务改革的在职职工和离退休人员宿舍等的物业管理费，包括综合治理、绿化、卫生等方面的支出。</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二十五、</w:t>
      </w:r>
      <w:r>
        <w:rPr>
          <w:rFonts w:hint="eastAsia" w:eastAsia="仿宋_GB2312"/>
          <w:b/>
          <w:kern w:val="0"/>
          <w:sz w:val="32"/>
          <w:szCs w:val="24"/>
        </w:rPr>
        <w:t>差旅费：</w:t>
      </w:r>
      <w:r>
        <w:rPr>
          <w:rFonts w:hint="eastAsia" w:eastAsia="仿宋_GB2312"/>
          <w:kern w:val="0"/>
          <w:sz w:val="32"/>
          <w:szCs w:val="24"/>
        </w:rPr>
        <w:t>反映单位工作人员出差发生的城市间交通费、住宿费、伙食补贴费和市内交通费。</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二十六、</w:t>
      </w:r>
      <w:r>
        <w:rPr>
          <w:rFonts w:hint="eastAsia" w:eastAsia="仿宋_GB2312"/>
          <w:b/>
          <w:kern w:val="0"/>
          <w:sz w:val="32"/>
          <w:szCs w:val="24"/>
        </w:rPr>
        <w:t>维修</w:t>
      </w:r>
      <w:r>
        <w:rPr>
          <w:rFonts w:hint="default" w:eastAsia="仿宋_GB2312"/>
          <w:b/>
          <w:kern w:val="0"/>
          <w:sz w:val="32"/>
          <w:szCs w:val="24"/>
        </w:rPr>
        <w:t>(</w:t>
      </w:r>
      <w:r>
        <w:rPr>
          <w:rFonts w:hint="eastAsia" w:eastAsia="仿宋_GB2312"/>
          <w:b/>
          <w:kern w:val="0"/>
          <w:sz w:val="32"/>
          <w:szCs w:val="24"/>
        </w:rPr>
        <w:t>护</w:t>
      </w:r>
      <w:r>
        <w:rPr>
          <w:rFonts w:hint="default" w:eastAsia="仿宋_GB2312"/>
          <w:b/>
          <w:kern w:val="0"/>
          <w:sz w:val="32"/>
          <w:szCs w:val="24"/>
        </w:rPr>
        <w:t>)</w:t>
      </w:r>
      <w:r>
        <w:rPr>
          <w:rFonts w:hint="eastAsia" w:eastAsia="仿宋_GB2312"/>
          <w:b/>
          <w:kern w:val="0"/>
          <w:sz w:val="32"/>
          <w:szCs w:val="24"/>
        </w:rPr>
        <w:t>费：</w:t>
      </w:r>
      <w:r>
        <w:rPr>
          <w:rFonts w:hint="eastAsia" w:eastAsia="仿宋_GB2312"/>
          <w:kern w:val="0"/>
          <w:sz w:val="32"/>
          <w:szCs w:val="24"/>
        </w:rPr>
        <w:t>反映单位日常开支的固定资产（不包括车船等交通工具）修理和维护费用，网络信息系统运行与维护费用，以及按规定提取的修购基金。</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二十七、</w:t>
      </w:r>
      <w:r>
        <w:rPr>
          <w:rFonts w:hint="eastAsia" w:eastAsia="仿宋_GB2312"/>
          <w:b/>
          <w:kern w:val="0"/>
          <w:sz w:val="32"/>
          <w:szCs w:val="24"/>
        </w:rPr>
        <w:t>会议费：</w:t>
      </w:r>
      <w:r>
        <w:rPr>
          <w:rFonts w:hint="eastAsia" w:eastAsia="仿宋_GB2312"/>
          <w:kern w:val="0"/>
          <w:sz w:val="32"/>
          <w:szCs w:val="24"/>
        </w:rPr>
        <w:t>反映会议中按规定开支的住宿费、伙食费、会议室租金、交通费、文件印刷费、医药费等。</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二十八、</w:t>
      </w:r>
      <w:r>
        <w:rPr>
          <w:rFonts w:hint="eastAsia" w:eastAsia="仿宋_GB2312"/>
          <w:b/>
          <w:kern w:val="0"/>
          <w:sz w:val="32"/>
          <w:szCs w:val="24"/>
        </w:rPr>
        <w:t>培训费：</w:t>
      </w:r>
      <w:r>
        <w:rPr>
          <w:rFonts w:hint="eastAsia" w:eastAsia="仿宋_GB2312"/>
          <w:kern w:val="0"/>
          <w:sz w:val="32"/>
          <w:szCs w:val="24"/>
        </w:rPr>
        <w:t>反映除因公出国（境）培训费以外的各类培训支出。</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二十九、</w:t>
      </w:r>
      <w:r>
        <w:rPr>
          <w:rFonts w:hint="eastAsia" w:eastAsia="仿宋_GB2312"/>
          <w:b/>
          <w:kern w:val="0"/>
          <w:sz w:val="32"/>
          <w:szCs w:val="24"/>
        </w:rPr>
        <w:t>公务接待费：</w:t>
      </w:r>
      <w:r>
        <w:rPr>
          <w:rFonts w:hint="eastAsia" w:eastAsia="仿宋_GB2312"/>
          <w:kern w:val="0"/>
          <w:sz w:val="32"/>
          <w:szCs w:val="24"/>
        </w:rPr>
        <w:t>反映单位按规定开支的各类公务接待（含外宾接待）费用。</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三十、</w:t>
      </w:r>
      <w:r>
        <w:rPr>
          <w:rFonts w:hint="eastAsia" w:eastAsia="仿宋_GB2312"/>
          <w:b/>
          <w:kern w:val="0"/>
          <w:sz w:val="32"/>
          <w:szCs w:val="24"/>
        </w:rPr>
        <w:t>专用材料费：</w:t>
      </w:r>
      <w:r>
        <w:rPr>
          <w:rFonts w:hint="eastAsia" w:eastAsia="仿宋_GB2312"/>
          <w:kern w:val="0"/>
          <w:sz w:val="32"/>
          <w:szCs w:val="24"/>
        </w:rPr>
        <w:t>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三十一、</w:t>
      </w:r>
      <w:r>
        <w:rPr>
          <w:rFonts w:hint="eastAsia" w:eastAsia="仿宋_GB2312"/>
          <w:b/>
          <w:kern w:val="0"/>
          <w:sz w:val="32"/>
          <w:szCs w:val="24"/>
        </w:rPr>
        <w:t>劳务费：</w:t>
      </w:r>
      <w:r>
        <w:rPr>
          <w:rFonts w:hint="eastAsia" w:eastAsia="仿宋_GB2312"/>
          <w:kern w:val="0"/>
          <w:sz w:val="32"/>
          <w:szCs w:val="24"/>
        </w:rPr>
        <w:t>反映支付给单位和个人的劳务费用，如临时聘用人员、钟点工工资，稿费、翻译费，评审费等。</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三十二、</w:t>
      </w:r>
      <w:r>
        <w:rPr>
          <w:rFonts w:hint="eastAsia" w:eastAsia="仿宋_GB2312"/>
          <w:b/>
          <w:kern w:val="0"/>
          <w:sz w:val="32"/>
          <w:szCs w:val="24"/>
        </w:rPr>
        <w:t>工会经费：</w:t>
      </w:r>
      <w:r>
        <w:rPr>
          <w:rFonts w:hint="eastAsia" w:eastAsia="仿宋_GB2312"/>
          <w:kern w:val="0"/>
          <w:sz w:val="32"/>
          <w:szCs w:val="24"/>
        </w:rPr>
        <w:t>反映单位按规定提取的工会经费。</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三十三、</w:t>
      </w:r>
      <w:r>
        <w:rPr>
          <w:rFonts w:hint="eastAsia" w:eastAsia="仿宋_GB2312"/>
          <w:b/>
          <w:kern w:val="0"/>
          <w:sz w:val="32"/>
          <w:szCs w:val="24"/>
        </w:rPr>
        <w:t>其他交通费用：</w:t>
      </w:r>
      <w:r>
        <w:rPr>
          <w:rFonts w:hint="eastAsia" w:eastAsia="仿宋_GB2312"/>
          <w:kern w:val="0"/>
          <w:sz w:val="32"/>
          <w:szCs w:val="24"/>
        </w:rPr>
        <w:t>反映单位除公务用车运行维护费以外的其他交通费用。如公务交通补贴，租车费用、出租车费用，飞机、船舶等的燃料费、维修费、保险费等。</w:t>
      </w:r>
    </w:p>
    <w:p>
      <w:pPr>
        <w:topLinePunct/>
        <w:spacing w:beforeLines="0" w:afterLines="0" w:line="600" w:lineRule="exact"/>
        <w:ind w:firstLine="640" w:firstLineChars="200"/>
        <w:rPr>
          <w:rFonts w:hint="default" w:eastAsia="仿宋_GB2312"/>
          <w:b/>
          <w:kern w:val="0"/>
          <w:sz w:val="32"/>
          <w:szCs w:val="24"/>
        </w:rPr>
      </w:pPr>
      <w:r>
        <w:rPr>
          <w:rFonts w:hint="eastAsia" w:eastAsia="仿宋_GB2312"/>
          <w:b/>
          <w:kern w:val="0"/>
          <w:sz w:val="32"/>
          <w:szCs w:val="24"/>
          <w:lang w:eastAsia="zh-CN"/>
        </w:rPr>
        <w:t>三十四、</w:t>
      </w:r>
      <w:r>
        <w:rPr>
          <w:rFonts w:hint="eastAsia" w:eastAsia="仿宋_GB2312"/>
          <w:b/>
          <w:kern w:val="0"/>
          <w:sz w:val="32"/>
          <w:szCs w:val="24"/>
        </w:rPr>
        <w:t>其他商品和服务支出：</w:t>
      </w:r>
      <w:r>
        <w:rPr>
          <w:rFonts w:hint="eastAsia" w:eastAsia="仿宋_GB2312"/>
          <w:kern w:val="0"/>
          <w:sz w:val="32"/>
          <w:szCs w:val="24"/>
        </w:rPr>
        <w:t>反映上述科目未包括的日常公用支出。如行政赔偿费和诉讼费、国内组织的会员费、来访费、广告宣传、其他劳务费及离休人员特需费、公用经费等。</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三十五、</w:t>
      </w:r>
      <w:r>
        <w:rPr>
          <w:rFonts w:hint="eastAsia" w:eastAsia="仿宋_GB2312"/>
          <w:b/>
          <w:kern w:val="0"/>
          <w:sz w:val="32"/>
          <w:szCs w:val="24"/>
        </w:rPr>
        <w:t>对个人和家庭的补助：</w:t>
      </w:r>
      <w:r>
        <w:rPr>
          <w:rFonts w:hint="eastAsia" w:eastAsia="仿宋_GB2312"/>
          <w:kern w:val="0"/>
          <w:sz w:val="32"/>
          <w:szCs w:val="24"/>
        </w:rPr>
        <w:t>反映政府用于对个人和家庭的补助支出。</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三十六、</w:t>
      </w:r>
      <w:r>
        <w:rPr>
          <w:rFonts w:hint="eastAsia" w:eastAsia="仿宋_GB2312"/>
          <w:b/>
          <w:kern w:val="0"/>
          <w:sz w:val="32"/>
          <w:szCs w:val="24"/>
        </w:rPr>
        <w:t>抚恤金：</w:t>
      </w:r>
      <w:r>
        <w:rPr>
          <w:rFonts w:hint="eastAsia" w:eastAsia="仿宋_GB2312"/>
          <w:kern w:val="0"/>
          <w:sz w:val="32"/>
          <w:szCs w:val="24"/>
        </w:rPr>
        <w:t>反映按规定开支的烈士遗属、牺牲病故人员遗属的一次性和定期抚恤金，伤残人员的抚恤金，离退休人员等其他人员的各项抚恤金。</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三十七、</w:t>
      </w:r>
      <w:r>
        <w:rPr>
          <w:rFonts w:hint="eastAsia" w:eastAsia="仿宋_GB2312"/>
          <w:b/>
          <w:kern w:val="0"/>
          <w:sz w:val="32"/>
          <w:szCs w:val="24"/>
        </w:rPr>
        <w:t>生活补助：</w:t>
      </w:r>
      <w:r>
        <w:rPr>
          <w:rFonts w:hint="eastAsia" w:eastAsia="仿宋_GB2312"/>
          <w:kern w:val="0"/>
          <w:sz w:val="32"/>
          <w:szCs w:val="24"/>
        </w:rPr>
        <w:t>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三十八、</w:t>
      </w:r>
      <w:r>
        <w:rPr>
          <w:rFonts w:hint="eastAsia" w:eastAsia="仿宋_GB2312"/>
          <w:b/>
          <w:kern w:val="0"/>
          <w:sz w:val="32"/>
          <w:szCs w:val="24"/>
        </w:rPr>
        <w:t>信息网络及软件购置更新：</w:t>
      </w:r>
      <w:r>
        <w:rPr>
          <w:rFonts w:hint="eastAsia" w:eastAsia="仿宋_GB2312"/>
          <w:kern w:val="0"/>
          <w:sz w:val="32"/>
          <w:szCs w:val="24"/>
        </w:rPr>
        <w:t>反映政府用于信息网络方面的支出。如计算机硬件、软件购置、开发、应用支出等，如果购建的计算机硬件、软件等不符合财务会计制度规定的固定资产确认标准的，不在此科目反映。</w:t>
      </w:r>
    </w:p>
    <w:p>
      <w:pPr>
        <w:topLinePunct/>
        <w:spacing w:beforeLines="0" w:afterLines="0" w:line="600" w:lineRule="exact"/>
        <w:ind w:firstLine="640" w:firstLineChars="200"/>
        <w:rPr>
          <w:rFonts w:hint="default" w:eastAsia="仿宋_GB2312"/>
          <w:kern w:val="0"/>
          <w:sz w:val="32"/>
          <w:szCs w:val="24"/>
        </w:rPr>
      </w:pPr>
      <w:r>
        <w:rPr>
          <w:rFonts w:hint="eastAsia" w:eastAsia="仿宋_GB2312"/>
          <w:b/>
          <w:kern w:val="0"/>
          <w:sz w:val="32"/>
          <w:szCs w:val="24"/>
          <w:lang w:eastAsia="zh-CN"/>
        </w:rPr>
        <w:t>三十九、</w:t>
      </w:r>
      <w:r>
        <w:rPr>
          <w:rFonts w:hint="eastAsia" w:eastAsia="仿宋_GB2312"/>
          <w:b/>
          <w:kern w:val="0"/>
          <w:sz w:val="32"/>
          <w:szCs w:val="24"/>
        </w:rPr>
        <w:t>机关运行经费：</w:t>
      </w:r>
      <w:r>
        <w:rPr>
          <w:rFonts w:hint="eastAsia" w:eastAsia="仿宋_GB2312"/>
          <w:kern w:val="0"/>
          <w:sz w:val="32"/>
          <w:szCs w:val="24"/>
        </w:rPr>
        <w:t>指为保障行政单位（包括参照公务员法管理的事业单位）运行用于购买货物和服务的各项资金，包括办公及印刷费、邮电费、差旅费、会议费、福利费、日常维修费、专用材料及一般设备购置费、办公用房水电费、办公用房取暖费、</w:t>
      </w:r>
      <w:r>
        <w:rPr>
          <w:rFonts w:hint="default" w:eastAsia="仿宋_GB2312"/>
          <w:kern w:val="0"/>
          <w:sz w:val="32"/>
          <w:szCs w:val="24"/>
        </w:rPr>
        <w:t xml:space="preserve"> </w:t>
      </w:r>
      <w:r>
        <w:rPr>
          <w:rFonts w:hint="eastAsia" w:eastAsia="仿宋_GB2312"/>
          <w:kern w:val="0"/>
          <w:sz w:val="32"/>
          <w:szCs w:val="24"/>
        </w:rPr>
        <w:t>办公用房物业管理费、公务用车运行维护费以及其他费用。</w:t>
      </w:r>
    </w:p>
    <w:p>
      <w:pPr>
        <w:pStyle w:val="12"/>
        <w:jc w:val="center"/>
        <w:rPr>
          <w:sz w:val="72"/>
          <w:szCs w:val="72"/>
        </w:rPr>
      </w:pPr>
    </w:p>
    <w:p>
      <w:pPr>
        <w:topLinePunct/>
        <w:spacing w:beforeLines="0" w:afterLines="0" w:line="600" w:lineRule="exact"/>
        <w:ind w:firstLine="640" w:firstLineChars="200"/>
        <w:rPr>
          <w:rFonts w:hint="default" w:eastAsia="仿宋_GB2312"/>
          <w:kern w:val="0"/>
          <w:sz w:val="32"/>
          <w:szCs w:val="24"/>
        </w:rPr>
      </w:pPr>
    </w:p>
    <w:p>
      <w:pPr>
        <w:topLinePunct/>
        <w:spacing w:beforeLines="0" w:afterLines="0" w:line="600" w:lineRule="exact"/>
        <w:ind w:firstLine="640" w:firstLineChars="200"/>
        <w:rPr>
          <w:rFonts w:hint="default" w:eastAsia="仿宋_GB2312"/>
          <w:kern w:val="0"/>
          <w:sz w:val="32"/>
          <w:szCs w:val="24"/>
        </w:rPr>
      </w:pPr>
    </w:p>
    <w:p>
      <w:pPr>
        <w:topLinePunct/>
        <w:spacing w:beforeLines="0" w:afterLines="0" w:line="600" w:lineRule="exact"/>
        <w:ind w:firstLine="640" w:firstLineChars="200"/>
        <w:rPr>
          <w:rFonts w:hint="default" w:eastAsia="仿宋_GB2312"/>
          <w:kern w:val="0"/>
          <w:sz w:val="32"/>
          <w:szCs w:val="24"/>
        </w:rPr>
      </w:pPr>
    </w:p>
    <w:p>
      <w:pPr>
        <w:topLinePunct/>
        <w:spacing w:beforeLines="0" w:afterLines="0" w:line="600" w:lineRule="exact"/>
        <w:ind w:firstLine="640" w:firstLineChars="200"/>
        <w:rPr>
          <w:rFonts w:hint="default" w:eastAsia="仿宋_GB2312"/>
          <w:kern w:val="0"/>
          <w:sz w:val="32"/>
          <w:szCs w:val="24"/>
        </w:rPr>
      </w:pPr>
    </w:p>
    <w:p>
      <w:pPr>
        <w:pStyle w:val="12"/>
        <w:jc w:val="center"/>
        <w:rPr>
          <w:rFonts w:hint="eastAsia"/>
          <w:sz w:val="72"/>
          <w:szCs w:val="72"/>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pPr>
        <w:pStyle w:val="12"/>
        <w:jc w:val="center"/>
        <w:rPr>
          <w:rFonts w:hint="eastAsia" w:ascii="仿宋_GB2312" w:hAnsi="仿宋_GB2312" w:eastAsia="仿宋_GB2312" w:cs="仿宋_GB2312"/>
          <w:sz w:val="32"/>
          <w:szCs w:val="32"/>
        </w:rPr>
      </w:pPr>
    </w:p>
    <w:p>
      <w:pPr>
        <w:pStyle w:val="3"/>
      </w:pPr>
    </w:p>
    <w:p/>
    <w:p>
      <w:pPr>
        <w:pStyle w:val="7"/>
      </w:pPr>
    </w:p>
    <w:p>
      <w:pPr>
        <w:pStyle w:val="3"/>
      </w:pPr>
    </w:p>
    <w:p/>
    <w:p>
      <w:pPr>
        <w:pStyle w:val="7"/>
      </w:pPr>
    </w:p>
    <w:p>
      <w:pPr>
        <w:pStyle w:val="3"/>
      </w:pPr>
    </w:p>
    <w:p/>
    <w:p>
      <w:pPr>
        <w:pStyle w:val="7"/>
      </w:pPr>
    </w:p>
    <w:p>
      <w:pPr>
        <w:pStyle w:val="3"/>
      </w:pPr>
    </w:p>
    <w:p/>
    <w:p/>
    <w:p/>
    <w:p/>
    <w:p/>
    <w:p/>
    <w:p/>
    <w:p/>
    <w:p/>
    <w:p/>
    <w:p/>
    <w:p/>
    <w:p/>
    <w:p/>
    <w:p/>
    <w:p/>
    <w:p/>
    <w:p/>
    <w:p/>
    <w:p/>
    <w:p/>
    <w:p/>
    <w:p/>
    <w:p>
      <w:pPr>
        <w:pStyle w:val="7"/>
      </w:pPr>
    </w:p>
    <w:p>
      <w:pPr>
        <w:pStyle w:val="3"/>
      </w:pPr>
    </w:p>
    <w:p/>
    <w:p>
      <w:pPr>
        <w:pStyle w:val="7"/>
      </w:pPr>
    </w:p>
    <w:p>
      <w:pPr>
        <w:pStyle w:val="3"/>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both"/>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lYTExY2ZmNzU0OGMyYmJkZWJiMzk3ODlkNjgxZWIifQ=="/>
  </w:docVars>
  <w:rsids>
    <w:rsidRoot w:val="004506F9"/>
    <w:rsid w:val="0002229B"/>
    <w:rsid w:val="000273BD"/>
    <w:rsid w:val="000273CC"/>
    <w:rsid w:val="00040CBC"/>
    <w:rsid w:val="000415B7"/>
    <w:rsid w:val="00041E3F"/>
    <w:rsid w:val="00055DAA"/>
    <w:rsid w:val="00061F7B"/>
    <w:rsid w:val="000658A3"/>
    <w:rsid w:val="00074155"/>
    <w:rsid w:val="000A3F69"/>
    <w:rsid w:val="00103957"/>
    <w:rsid w:val="00152C6D"/>
    <w:rsid w:val="00162D39"/>
    <w:rsid w:val="001678BD"/>
    <w:rsid w:val="00182373"/>
    <w:rsid w:val="001A4716"/>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87E6D"/>
    <w:rsid w:val="00EA2B72"/>
    <w:rsid w:val="00F74360"/>
    <w:rsid w:val="00FB462F"/>
    <w:rsid w:val="00FE16FA"/>
    <w:rsid w:val="00FE328A"/>
    <w:rsid w:val="00FE6269"/>
    <w:rsid w:val="00FF5CD6"/>
    <w:rsid w:val="016025FC"/>
    <w:rsid w:val="0194674A"/>
    <w:rsid w:val="01DE1773"/>
    <w:rsid w:val="020F7B7E"/>
    <w:rsid w:val="029307AF"/>
    <w:rsid w:val="02D83A91"/>
    <w:rsid w:val="02F2197A"/>
    <w:rsid w:val="02F474A0"/>
    <w:rsid w:val="0301396B"/>
    <w:rsid w:val="037759DB"/>
    <w:rsid w:val="03A964DC"/>
    <w:rsid w:val="03AF786B"/>
    <w:rsid w:val="04155920"/>
    <w:rsid w:val="04455AD9"/>
    <w:rsid w:val="04536448"/>
    <w:rsid w:val="04653A3F"/>
    <w:rsid w:val="049B394B"/>
    <w:rsid w:val="04A96068"/>
    <w:rsid w:val="04B36EE7"/>
    <w:rsid w:val="04FA4B16"/>
    <w:rsid w:val="059958AD"/>
    <w:rsid w:val="05C25634"/>
    <w:rsid w:val="05D610DF"/>
    <w:rsid w:val="05DB114E"/>
    <w:rsid w:val="05DB66F5"/>
    <w:rsid w:val="064222D0"/>
    <w:rsid w:val="06777ACA"/>
    <w:rsid w:val="06ED4932"/>
    <w:rsid w:val="070E2AFA"/>
    <w:rsid w:val="072E0AA7"/>
    <w:rsid w:val="075524D7"/>
    <w:rsid w:val="07A33243"/>
    <w:rsid w:val="07D4164E"/>
    <w:rsid w:val="08304E83"/>
    <w:rsid w:val="08471E20"/>
    <w:rsid w:val="086724C2"/>
    <w:rsid w:val="0878647D"/>
    <w:rsid w:val="089D4136"/>
    <w:rsid w:val="09163505"/>
    <w:rsid w:val="096F3AB3"/>
    <w:rsid w:val="0A165F4E"/>
    <w:rsid w:val="0A736680"/>
    <w:rsid w:val="0AFB5144"/>
    <w:rsid w:val="0B00275A"/>
    <w:rsid w:val="0B3E7708"/>
    <w:rsid w:val="0B756CA4"/>
    <w:rsid w:val="0BFC1F0A"/>
    <w:rsid w:val="0C063DA0"/>
    <w:rsid w:val="0C3116FD"/>
    <w:rsid w:val="0CAC4948"/>
    <w:rsid w:val="0D3D5EE8"/>
    <w:rsid w:val="0DFD6191"/>
    <w:rsid w:val="0E0C355A"/>
    <w:rsid w:val="0E100F06"/>
    <w:rsid w:val="0EC20452"/>
    <w:rsid w:val="0F587009"/>
    <w:rsid w:val="0F753717"/>
    <w:rsid w:val="0F985657"/>
    <w:rsid w:val="0FC1695C"/>
    <w:rsid w:val="0FC6075F"/>
    <w:rsid w:val="10611EED"/>
    <w:rsid w:val="10CF24BE"/>
    <w:rsid w:val="10EA3C90"/>
    <w:rsid w:val="111D4066"/>
    <w:rsid w:val="11423ACC"/>
    <w:rsid w:val="118934A9"/>
    <w:rsid w:val="121E5DAA"/>
    <w:rsid w:val="12583BA5"/>
    <w:rsid w:val="1299424E"/>
    <w:rsid w:val="13076D7C"/>
    <w:rsid w:val="137312F6"/>
    <w:rsid w:val="137B32C6"/>
    <w:rsid w:val="13871C6A"/>
    <w:rsid w:val="13873A19"/>
    <w:rsid w:val="138E2FF9"/>
    <w:rsid w:val="13BA5B9C"/>
    <w:rsid w:val="13E64BE3"/>
    <w:rsid w:val="148E0DD7"/>
    <w:rsid w:val="14926B19"/>
    <w:rsid w:val="1494463F"/>
    <w:rsid w:val="14F72E20"/>
    <w:rsid w:val="151614F8"/>
    <w:rsid w:val="15451DDD"/>
    <w:rsid w:val="15453B8B"/>
    <w:rsid w:val="15475B55"/>
    <w:rsid w:val="15916DD0"/>
    <w:rsid w:val="15BB209F"/>
    <w:rsid w:val="15D078F9"/>
    <w:rsid w:val="15DD0268"/>
    <w:rsid w:val="162639BD"/>
    <w:rsid w:val="165E3157"/>
    <w:rsid w:val="168B1A72"/>
    <w:rsid w:val="16F92D57"/>
    <w:rsid w:val="17516817"/>
    <w:rsid w:val="17AD77C6"/>
    <w:rsid w:val="18A312F5"/>
    <w:rsid w:val="18C748B7"/>
    <w:rsid w:val="18E5190D"/>
    <w:rsid w:val="18FF4051"/>
    <w:rsid w:val="19EF2318"/>
    <w:rsid w:val="1A3B730B"/>
    <w:rsid w:val="1A587EBD"/>
    <w:rsid w:val="1A7D7923"/>
    <w:rsid w:val="1AC92B69"/>
    <w:rsid w:val="1B26620D"/>
    <w:rsid w:val="1C8651B5"/>
    <w:rsid w:val="1C940F54"/>
    <w:rsid w:val="1C9D42AD"/>
    <w:rsid w:val="1CE4012E"/>
    <w:rsid w:val="1CE65C54"/>
    <w:rsid w:val="1CF82C2E"/>
    <w:rsid w:val="1D484219"/>
    <w:rsid w:val="1D807E56"/>
    <w:rsid w:val="1D97DEFF"/>
    <w:rsid w:val="1DD75FFA"/>
    <w:rsid w:val="1DFF72E5"/>
    <w:rsid w:val="1E0068A1"/>
    <w:rsid w:val="1E8A260F"/>
    <w:rsid w:val="1EBA548A"/>
    <w:rsid w:val="1EDB2E6A"/>
    <w:rsid w:val="1EFC6F07"/>
    <w:rsid w:val="1F7A08D5"/>
    <w:rsid w:val="207812B9"/>
    <w:rsid w:val="20914128"/>
    <w:rsid w:val="21130FE1"/>
    <w:rsid w:val="211C7E96"/>
    <w:rsid w:val="21D4251F"/>
    <w:rsid w:val="21E464DA"/>
    <w:rsid w:val="21EE1107"/>
    <w:rsid w:val="223631D9"/>
    <w:rsid w:val="22721D38"/>
    <w:rsid w:val="22AC03C2"/>
    <w:rsid w:val="22C74493"/>
    <w:rsid w:val="22CC58EC"/>
    <w:rsid w:val="22F10EAE"/>
    <w:rsid w:val="22F866E1"/>
    <w:rsid w:val="237D0994"/>
    <w:rsid w:val="237F470C"/>
    <w:rsid w:val="242A0B1C"/>
    <w:rsid w:val="243C43AB"/>
    <w:rsid w:val="24517ADE"/>
    <w:rsid w:val="24CA7C09"/>
    <w:rsid w:val="24F5112A"/>
    <w:rsid w:val="25184E18"/>
    <w:rsid w:val="253C2179"/>
    <w:rsid w:val="25592D3B"/>
    <w:rsid w:val="25710085"/>
    <w:rsid w:val="25A16BBC"/>
    <w:rsid w:val="25AC730F"/>
    <w:rsid w:val="266B0F78"/>
    <w:rsid w:val="268D0EEE"/>
    <w:rsid w:val="26C64400"/>
    <w:rsid w:val="27BA3F65"/>
    <w:rsid w:val="27E17743"/>
    <w:rsid w:val="27FB403B"/>
    <w:rsid w:val="282B6C11"/>
    <w:rsid w:val="28425D08"/>
    <w:rsid w:val="284F6DA3"/>
    <w:rsid w:val="28551EE0"/>
    <w:rsid w:val="28884063"/>
    <w:rsid w:val="28F237B9"/>
    <w:rsid w:val="294E0E09"/>
    <w:rsid w:val="29671ECA"/>
    <w:rsid w:val="298962E5"/>
    <w:rsid w:val="29995DFC"/>
    <w:rsid w:val="2A2B739C"/>
    <w:rsid w:val="2A314286"/>
    <w:rsid w:val="2A7F1496"/>
    <w:rsid w:val="2A930A9D"/>
    <w:rsid w:val="2AB4113F"/>
    <w:rsid w:val="2B4D6E9E"/>
    <w:rsid w:val="2B8C5C18"/>
    <w:rsid w:val="2B944ACD"/>
    <w:rsid w:val="2BA74800"/>
    <w:rsid w:val="2BB84C5F"/>
    <w:rsid w:val="2BE94E19"/>
    <w:rsid w:val="2CFC5020"/>
    <w:rsid w:val="2D012636"/>
    <w:rsid w:val="2D265BF9"/>
    <w:rsid w:val="2DAD1E76"/>
    <w:rsid w:val="2DE81100"/>
    <w:rsid w:val="2DFD4BAB"/>
    <w:rsid w:val="2E3C1B78"/>
    <w:rsid w:val="2E8B21B7"/>
    <w:rsid w:val="2E982B26"/>
    <w:rsid w:val="2EA27501"/>
    <w:rsid w:val="2EC92CDF"/>
    <w:rsid w:val="2ED022C0"/>
    <w:rsid w:val="2ED51684"/>
    <w:rsid w:val="2FD61B58"/>
    <w:rsid w:val="2FDF85B8"/>
    <w:rsid w:val="2FFFEE04"/>
    <w:rsid w:val="305F1B4D"/>
    <w:rsid w:val="30640F12"/>
    <w:rsid w:val="30782C0F"/>
    <w:rsid w:val="30894E1C"/>
    <w:rsid w:val="30915A7F"/>
    <w:rsid w:val="30977539"/>
    <w:rsid w:val="30F027A5"/>
    <w:rsid w:val="31232B7B"/>
    <w:rsid w:val="31464ABB"/>
    <w:rsid w:val="314F42DF"/>
    <w:rsid w:val="31A33CBC"/>
    <w:rsid w:val="31C53C32"/>
    <w:rsid w:val="31C95635"/>
    <w:rsid w:val="32146ADF"/>
    <w:rsid w:val="321B5F48"/>
    <w:rsid w:val="323B0398"/>
    <w:rsid w:val="32847649"/>
    <w:rsid w:val="337E678E"/>
    <w:rsid w:val="339D1825"/>
    <w:rsid w:val="33A31D51"/>
    <w:rsid w:val="33CA5530"/>
    <w:rsid w:val="33D22636"/>
    <w:rsid w:val="33E5680D"/>
    <w:rsid w:val="341D5FA7"/>
    <w:rsid w:val="346534AA"/>
    <w:rsid w:val="346F257B"/>
    <w:rsid w:val="34D66156"/>
    <w:rsid w:val="34DF85B0"/>
    <w:rsid w:val="351B1DBB"/>
    <w:rsid w:val="352E7D40"/>
    <w:rsid w:val="354C01C6"/>
    <w:rsid w:val="356B13CA"/>
    <w:rsid w:val="35FF348B"/>
    <w:rsid w:val="361C5DEB"/>
    <w:rsid w:val="363E3FB3"/>
    <w:rsid w:val="36486BE0"/>
    <w:rsid w:val="365732C7"/>
    <w:rsid w:val="36EE7787"/>
    <w:rsid w:val="36FE438B"/>
    <w:rsid w:val="37144D14"/>
    <w:rsid w:val="373830F8"/>
    <w:rsid w:val="3758678B"/>
    <w:rsid w:val="3768578B"/>
    <w:rsid w:val="37841E99"/>
    <w:rsid w:val="381551E7"/>
    <w:rsid w:val="38415FDC"/>
    <w:rsid w:val="38710670"/>
    <w:rsid w:val="38D429AD"/>
    <w:rsid w:val="39225E0E"/>
    <w:rsid w:val="3949339B"/>
    <w:rsid w:val="395A1104"/>
    <w:rsid w:val="398C14D9"/>
    <w:rsid w:val="39902D77"/>
    <w:rsid w:val="39A9680B"/>
    <w:rsid w:val="39AD3929"/>
    <w:rsid w:val="3A1A4D37"/>
    <w:rsid w:val="3A1A787C"/>
    <w:rsid w:val="3A5E69D2"/>
    <w:rsid w:val="3A7C154E"/>
    <w:rsid w:val="3AE677D1"/>
    <w:rsid w:val="3B255741"/>
    <w:rsid w:val="3B3D2A8B"/>
    <w:rsid w:val="3B765F9D"/>
    <w:rsid w:val="3B7F4E52"/>
    <w:rsid w:val="3B8561E0"/>
    <w:rsid w:val="3B8F36BC"/>
    <w:rsid w:val="3B903503"/>
    <w:rsid w:val="3BDD601C"/>
    <w:rsid w:val="3C0637C5"/>
    <w:rsid w:val="3C0B0DDB"/>
    <w:rsid w:val="3C577B7C"/>
    <w:rsid w:val="3CA07775"/>
    <w:rsid w:val="3CBD0327"/>
    <w:rsid w:val="3D2C0ADF"/>
    <w:rsid w:val="3D3D3216"/>
    <w:rsid w:val="3D801355"/>
    <w:rsid w:val="3DF5589F"/>
    <w:rsid w:val="3E6E73FF"/>
    <w:rsid w:val="3E8B7FB1"/>
    <w:rsid w:val="3F2C3542"/>
    <w:rsid w:val="3F7B1DD4"/>
    <w:rsid w:val="3FC25C55"/>
    <w:rsid w:val="40271F5C"/>
    <w:rsid w:val="40387CC5"/>
    <w:rsid w:val="405C39B3"/>
    <w:rsid w:val="409C7882"/>
    <w:rsid w:val="40EF4827"/>
    <w:rsid w:val="41344930"/>
    <w:rsid w:val="41A27AEC"/>
    <w:rsid w:val="41CC4B69"/>
    <w:rsid w:val="41D261BD"/>
    <w:rsid w:val="427C033D"/>
    <w:rsid w:val="42A01A14"/>
    <w:rsid w:val="433E3844"/>
    <w:rsid w:val="433F136A"/>
    <w:rsid w:val="43C31F9B"/>
    <w:rsid w:val="43F16B09"/>
    <w:rsid w:val="44913E48"/>
    <w:rsid w:val="44A126BD"/>
    <w:rsid w:val="44F543D6"/>
    <w:rsid w:val="451A4EF6"/>
    <w:rsid w:val="45350C77"/>
    <w:rsid w:val="45521829"/>
    <w:rsid w:val="458A0FC3"/>
    <w:rsid w:val="46054AED"/>
    <w:rsid w:val="463F7FFF"/>
    <w:rsid w:val="46623CEE"/>
    <w:rsid w:val="46AB7443"/>
    <w:rsid w:val="46F41985"/>
    <w:rsid w:val="4743389B"/>
    <w:rsid w:val="47571378"/>
    <w:rsid w:val="48270D4B"/>
    <w:rsid w:val="483B2A48"/>
    <w:rsid w:val="488717E9"/>
    <w:rsid w:val="48B3438D"/>
    <w:rsid w:val="48E94252"/>
    <w:rsid w:val="491FF225"/>
    <w:rsid w:val="49290AF3"/>
    <w:rsid w:val="495F62C2"/>
    <w:rsid w:val="49675177"/>
    <w:rsid w:val="49CA7BE0"/>
    <w:rsid w:val="49D24CE6"/>
    <w:rsid w:val="49E54A1A"/>
    <w:rsid w:val="49F25388"/>
    <w:rsid w:val="4A3634C7"/>
    <w:rsid w:val="4A783AE0"/>
    <w:rsid w:val="4A8C1339"/>
    <w:rsid w:val="4AB93EC5"/>
    <w:rsid w:val="4B0E721C"/>
    <w:rsid w:val="4B221C9D"/>
    <w:rsid w:val="4B7415C0"/>
    <w:rsid w:val="4B8E2E8F"/>
    <w:rsid w:val="4BB40B47"/>
    <w:rsid w:val="4BBF18DE"/>
    <w:rsid w:val="4C854292"/>
    <w:rsid w:val="4CC96874"/>
    <w:rsid w:val="4D16138E"/>
    <w:rsid w:val="4D4B54DB"/>
    <w:rsid w:val="4D6C0FAE"/>
    <w:rsid w:val="4DC808DA"/>
    <w:rsid w:val="4E791BD4"/>
    <w:rsid w:val="4EE80B08"/>
    <w:rsid w:val="4EEF00E8"/>
    <w:rsid w:val="4EF37BD9"/>
    <w:rsid w:val="4FD73056"/>
    <w:rsid w:val="4FD95020"/>
    <w:rsid w:val="4FFD214C"/>
    <w:rsid w:val="50A13664"/>
    <w:rsid w:val="51694182"/>
    <w:rsid w:val="51917235"/>
    <w:rsid w:val="51DD247A"/>
    <w:rsid w:val="51F872B4"/>
    <w:rsid w:val="52140592"/>
    <w:rsid w:val="523D38D5"/>
    <w:rsid w:val="524349D3"/>
    <w:rsid w:val="52AD009F"/>
    <w:rsid w:val="52B4767F"/>
    <w:rsid w:val="531B14AC"/>
    <w:rsid w:val="53332C9A"/>
    <w:rsid w:val="5352765A"/>
    <w:rsid w:val="5391176E"/>
    <w:rsid w:val="539909DF"/>
    <w:rsid w:val="53C02053"/>
    <w:rsid w:val="53D53D51"/>
    <w:rsid w:val="53FD0BB2"/>
    <w:rsid w:val="541128AF"/>
    <w:rsid w:val="5429409D"/>
    <w:rsid w:val="54372316"/>
    <w:rsid w:val="544E765F"/>
    <w:rsid w:val="549C661D"/>
    <w:rsid w:val="54BE47E5"/>
    <w:rsid w:val="5523289A"/>
    <w:rsid w:val="55313209"/>
    <w:rsid w:val="563034C0"/>
    <w:rsid w:val="5637192D"/>
    <w:rsid w:val="56DA167E"/>
    <w:rsid w:val="5777D4F5"/>
    <w:rsid w:val="5785783C"/>
    <w:rsid w:val="5798756F"/>
    <w:rsid w:val="57A31A70"/>
    <w:rsid w:val="583A0626"/>
    <w:rsid w:val="584274DB"/>
    <w:rsid w:val="58733B38"/>
    <w:rsid w:val="58855A0B"/>
    <w:rsid w:val="58B008E9"/>
    <w:rsid w:val="58ED38EB"/>
    <w:rsid w:val="58F509F1"/>
    <w:rsid w:val="58FA1631"/>
    <w:rsid w:val="590824D3"/>
    <w:rsid w:val="59BC506B"/>
    <w:rsid w:val="59DD8326"/>
    <w:rsid w:val="5A6E08A1"/>
    <w:rsid w:val="5A83041C"/>
    <w:rsid w:val="5A886D08"/>
    <w:rsid w:val="5AB3021C"/>
    <w:rsid w:val="5AB521E6"/>
    <w:rsid w:val="5AC661A1"/>
    <w:rsid w:val="5AD20FEA"/>
    <w:rsid w:val="5BCE7482"/>
    <w:rsid w:val="5BEC60DC"/>
    <w:rsid w:val="5BFB631F"/>
    <w:rsid w:val="5C006E6A"/>
    <w:rsid w:val="5C225659"/>
    <w:rsid w:val="5C292008"/>
    <w:rsid w:val="5C311D40"/>
    <w:rsid w:val="5C317F92"/>
    <w:rsid w:val="5D2E002E"/>
    <w:rsid w:val="5D5E4DB7"/>
    <w:rsid w:val="5D680A7D"/>
    <w:rsid w:val="5DD21301"/>
    <w:rsid w:val="5DEF592A"/>
    <w:rsid w:val="5E341674"/>
    <w:rsid w:val="5E5D6E1D"/>
    <w:rsid w:val="5E785A05"/>
    <w:rsid w:val="5E7D74BF"/>
    <w:rsid w:val="5E826883"/>
    <w:rsid w:val="5F7F1015"/>
    <w:rsid w:val="5FC6BB1E"/>
    <w:rsid w:val="5FD5214A"/>
    <w:rsid w:val="5FF720F1"/>
    <w:rsid w:val="60455DBA"/>
    <w:rsid w:val="6094614B"/>
    <w:rsid w:val="60F56005"/>
    <w:rsid w:val="610619ED"/>
    <w:rsid w:val="61952D71"/>
    <w:rsid w:val="61C176C2"/>
    <w:rsid w:val="6200643D"/>
    <w:rsid w:val="62037CDB"/>
    <w:rsid w:val="62326812"/>
    <w:rsid w:val="628F77C1"/>
    <w:rsid w:val="62BC7E8A"/>
    <w:rsid w:val="62FA7330"/>
    <w:rsid w:val="63462575"/>
    <w:rsid w:val="63892462"/>
    <w:rsid w:val="63BC6393"/>
    <w:rsid w:val="641C32D6"/>
    <w:rsid w:val="64A15589"/>
    <w:rsid w:val="6530528B"/>
    <w:rsid w:val="65516FAF"/>
    <w:rsid w:val="658D448B"/>
    <w:rsid w:val="65962C14"/>
    <w:rsid w:val="659A6BA8"/>
    <w:rsid w:val="668002B5"/>
    <w:rsid w:val="669B2BD8"/>
    <w:rsid w:val="67056C83"/>
    <w:rsid w:val="67064B36"/>
    <w:rsid w:val="672A5D0A"/>
    <w:rsid w:val="6744501E"/>
    <w:rsid w:val="67A41618"/>
    <w:rsid w:val="67FF5C0B"/>
    <w:rsid w:val="684D3A5E"/>
    <w:rsid w:val="6865349E"/>
    <w:rsid w:val="68E97CB4"/>
    <w:rsid w:val="68F6059A"/>
    <w:rsid w:val="697B39D4"/>
    <w:rsid w:val="698A6F34"/>
    <w:rsid w:val="69A973BA"/>
    <w:rsid w:val="6A0E546F"/>
    <w:rsid w:val="6A294057"/>
    <w:rsid w:val="6A617C95"/>
    <w:rsid w:val="6A6B466F"/>
    <w:rsid w:val="6A851AE5"/>
    <w:rsid w:val="6AB04778"/>
    <w:rsid w:val="6AEC1C54"/>
    <w:rsid w:val="6B1D005F"/>
    <w:rsid w:val="6B2D7B77"/>
    <w:rsid w:val="6B826114"/>
    <w:rsid w:val="6B87197D"/>
    <w:rsid w:val="6B9E0A74"/>
    <w:rsid w:val="6BA50055"/>
    <w:rsid w:val="6BAA4A2F"/>
    <w:rsid w:val="6D633D24"/>
    <w:rsid w:val="6D9E2FAE"/>
    <w:rsid w:val="6DCA78FF"/>
    <w:rsid w:val="6DDB015F"/>
    <w:rsid w:val="6E3A4A84"/>
    <w:rsid w:val="6E657628"/>
    <w:rsid w:val="6EC46A44"/>
    <w:rsid w:val="6ED76777"/>
    <w:rsid w:val="6EFC0924"/>
    <w:rsid w:val="6F392F8E"/>
    <w:rsid w:val="6F423F38"/>
    <w:rsid w:val="6F894829"/>
    <w:rsid w:val="6FB74722"/>
    <w:rsid w:val="6FEF8B7E"/>
    <w:rsid w:val="706C7393"/>
    <w:rsid w:val="70952446"/>
    <w:rsid w:val="713779A1"/>
    <w:rsid w:val="715C2F64"/>
    <w:rsid w:val="717604C9"/>
    <w:rsid w:val="71A6591B"/>
    <w:rsid w:val="72A252EE"/>
    <w:rsid w:val="72A66B8C"/>
    <w:rsid w:val="72A93F87"/>
    <w:rsid w:val="72CB03A1"/>
    <w:rsid w:val="73125FD0"/>
    <w:rsid w:val="7355410F"/>
    <w:rsid w:val="737D59BA"/>
    <w:rsid w:val="737F32B1"/>
    <w:rsid w:val="739E5AB6"/>
    <w:rsid w:val="73B52DFF"/>
    <w:rsid w:val="73B70925"/>
    <w:rsid w:val="73CA0659"/>
    <w:rsid w:val="73E3171A"/>
    <w:rsid w:val="73FE47A6"/>
    <w:rsid w:val="74393A30"/>
    <w:rsid w:val="74CF1C9F"/>
    <w:rsid w:val="75461F61"/>
    <w:rsid w:val="75CD2682"/>
    <w:rsid w:val="76067942"/>
    <w:rsid w:val="76553EEB"/>
    <w:rsid w:val="770B16B4"/>
    <w:rsid w:val="771147F0"/>
    <w:rsid w:val="77C37683"/>
    <w:rsid w:val="780B1240"/>
    <w:rsid w:val="782D565A"/>
    <w:rsid w:val="784A7FBA"/>
    <w:rsid w:val="7860158C"/>
    <w:rsid w:val="79270F41"/>
    <w:rsid w:val="79336CA0"/>
    <w:rsid w:val="79426EE3"/>
    <w:rsid w:val="79780B57"/>
    <w:rsid w:val="79A61220"/>
    <w:rsid w:val="79FF515B"/>
    <w:rsid w:val="7A081EDB"/>
    <w:rsid w:val="7A434CC1"/>
    <w:rsid w:val="7A7A156E"/>
    <w:rsid w:val="7A916B6E"/>
    <w:rsid w:val="7A9E45ED"/>
    <w:rsid w:val="7AAB2866"/>
    <w:rsid w:val="7B2368A0"/>
    <w:rsid w:val="7BBB447E"/>
    <w:rsid w:val="7BDB203F"/>
    <w:rsid w:val="7BEE6EAE"/>
    <w:rsid w:val="7C336FB7"/>
    <w:rsid w:val="7CE24C65"/>
    <w:rsid w:val="7CFD581C"/>
    <w:rsid w:val="7D4A3DC3"/>
    <w:rsid w:val="7D9B4E14"/>
    <w:rsid w:val="7DBD122E"/>
    <w:rsid w:val="7E062BD5"/>
    <w:rsid w:val="7E0806FB"/>
    <w:rsid w:val="7E325778"/>
    <w:rsid w:val="7E4436FD"/>
    <w:rsid w:val="7E682F48"/>
    <w:rsid w:val="7E9E1962"/>
    <w:rsid w:val="7E9F11B4"/>
    <w:rsid w:val="7EAE3188"/>
    <w:rsid w:val="7EF43367"/>
    <w:rsid w:val="7F37EC1E"/>
    <w:rsid w:val="7F651B7D"/>
    <w:rsid w:val="7F6556D9"/>
    <w:rsid w:val="7F7DCD9D"/>
    <w:rsid w:val="7F970A6F"/>
    <w:rsid w:val="7FC1FFF3"/>
    <w:rsid w:val="7FC22B2C"/>
    <w:rsid w:val="7FC69637"/>
    <w:rsid w:val="7FDF8620"/>
    <w:rsid w:val="7FE01204"/>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3">
    <w:name w:val="Body Text First Indent 2"/>
    <w:basedOn w:val="2"/>
    <w:next w:val="1"/>
    <w:unhideWhenUsed/>
    <w:qFormat/>
    <w:uiPriority w:val="99"/>
    <w:pPr>
      <w:ind w:firstLine="420" w:firstLineChars="2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next w:val="3"/>
    <w:semiHidden/>
    <w:qFormat/>
    <w:uiPriority w:val="0"/>
    <w:pPr>
      <w:snapToGrid w:val="0"/>
      <w:jc w:val="left"/>
    </w:pPr>
    <w:rPr>
      <w:sz w:val="18"/>
      <w:szCs w:val="18"/>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8"/>
    <w:link w:val="4"/>
    <w:semiHidden/>
    <w:qFormat/>
    <w:uiPriority w:val="99"/>
    <w:rPr>
      <w:sz w:val="18"/>
      <w:szCs w:val="18"/>
    </w:rPr>
  </w:style>
  <w:style w:type="character" w:customStyle="1" w:styleId="15">
    <w:name w:val="font01"/>
    <w:basedOn w:val="8"/>
    <w:qFormat/>
    <w:uiPriority w:val="0"/>
    <w:rPr>
      <w:rFonts w:hint="eastAsia" w:ascii="宋体" w:hAnsi="宋体" w:eastAsia="宋体" w:cs="宋体"/>
      <w:color w:val="000000"/>
      <w:sz w:val="22"/>
      <w:szCs w:val="22"/>
      <w:u w:val="none"/>
    </w:rPr>
  </w:style>
  <w:style w:type="character" w:customStyle="1" w:styleId="16">
    <w:name w:val="font21"/>
    <w:basedOn w:val="8"/>
    <w:qFormat/>
    <w:uiPriority w:val="0"/>
    <w:rPr>
      <w:rFonts w:hint="eastAsia" w:ascii="宋体" w:hAnsi="宋体" w:eastAsia="宋体" w:cs="宋体"/>
      <w:color w:val="000000"/>
      <w:sz w:val="24"/>
      <w:szCs w:val="24"/>
      <w:u w:val="none"/>
    </w:rPr>
  </w:style>
  <w:style w:type="character" w:customStyle="1" w:styleId="17">
    <w:name w:val="font1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8749</Words>
  <Characters>9358</Characters>
  <Lines>63</Lines>
  <Paragraphs>18</Paragraphs>
  <TotalTime>209</TotalTime>
  <ScaleCrop>false</ScaleCrop>
  <LinksUpToDate>false</LinksUpToDate>
  <CharactersWithSpaces>9369</CharactersWithSpaces>
  <Application>WPS Office_10.8.2.7164_F1E327BC-269C-435d-A152-05C5408002CA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2024-08-08T10:20:00Z</cp:lastPrinted>
  <dcterms:modified xsi:type="dcterms:W3CDTF">2024-09-24T08:31:50Z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2052-10.8.2.7164</vt:lpwstr>
  </property>
  <property fmtid="{D5CDD505-2E9C-101B-9397-08002B2CF9AE}" pid="3" name="ICV">
    <vt:lpwstr>A8220FF44DE54DA5BE72A88ECE7BBC29_13</vt:lpwstr>
  </property>
</Properties>
</file>