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FZXiaoBiaoSong-B05S" w:hAnsi="FZXiaoBiaoSong-B05S" w:eastAsia="FZXiaoBiaoSong-B05S" w:cs="FZXiaoBiaoSong-B05S"/>
          <w:sz w:val="24"/>
          <w:highlight w:val="none"/>
        </w:rPr>
      </w:pPr>
      <w:r>
        <w:rPr>
          <w:rFonts w:hint="eastAsia" w:ascii="FZXiaoBiaoSong-B05S" w:hAnsi="FZXiaoBiaoSong-B05S" w:eastAsia="FZXiaoBiaoSong-B05S" w:cs="FZXiaoBiaoSong-B05S"/>
          <w:sz w:val="36"/>
          <w:szCs w:val="36"/>
          <w:highlight w:val="none"/>
        </w:rPr>
        <w:t>202</w:t>
      </w:r>
      <w:r>
        <w:rPr>
          <w:rFonts w:hint="eastAsia" w:ascii="FZXiaoBiaoSong-B05S" w:hAnsi="FZXiaoBiaoSong-B05S" w:eastAsia="FZXiaoBiaoSong-B05S" w:cs="FZXiaoBiaoSong-B05S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FZXiaoBiaoSong-B05S" w:hAnsi="FZXiaoBiaoSong-B05S" w:eastAsia="FZXiaoBiaoSong-B05S" w:cs="FZXiaoBiaoSong-B05S"/>
          <w:sz w:val="36"/>
          <w:szCs w:val="36"/>
          <w:highlight w:val="none"/>
        </w:rPr>
        <w:t>年度部门整体支出绩效评价基础数据表</w:t>
      </w:r>
    </w:p>
    <w:tbl>
      <w:tblPr>
        <w:tblStyle w:val="3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83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76</w:t>
            </w: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FangSong_GB2312" w:hAnsi="FangSong_GB2312" w:eastAsia="FangSong_GB2312" w:cs="FangSong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0.30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2.22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1.01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2.22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1.01</w:t>
            </w: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96.97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60.00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305.08</w:t>
            </w: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  <w:t>143.57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96.97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  <w:t>60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  <w:t>161.51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1400" w:firstLineChars="700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222.91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206.87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165.64</w:t>
            </w: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200.32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179.25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152.33</w:t>
            </w: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20.06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22.62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10.92</w:t>
            </w: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800" w:firstLineChars="400"/>
              <w:jc w:val="center"/>
              <w:rPr>
                <w:rFonts w:hint="default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2.53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5.00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2.39</w:t>
            </w: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305.00</w:t>
            </w: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  <w:lang w:val="en-US" w:eastAsia="zh-CN"/>
              </w:rPr>
              <w:t>322.71</w:t>
            </w:r>
            <w:r>
              <w:rPr>
                <w:rFonts w:hint="eastAsia" w:ascii="FangSong_GB2312" w:hAnsi="FangSong_GB2312" w:eastAsia="FangSong_GB2312" w:cs="FangSong_GB2312"/>
                <w:color w:val="auto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楼堂馆所控制情况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  <w:t>批复规模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FangSong_GB2312" w:cs="Times New Roman"/>
          <w:sz w:val="22"/>
          <w:highlight w:val="none"/>
        </w:rPr>
      </w:pPr>
      <w:r>
        <w:rPr>
          <w:rFonts w:hint="default" w:ascii="Times New Roman" w:hAnsi="Times New Roman" w:eastAsia="FangSong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FangSong_GB2312" w:cs="Times New Roman"/>
          <w:sz w:val="22"/>
          <w:highlight w:val="none"/>
        </w:rPr>
      </w:pPr>
    </w:p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FangSong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周颖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 填报日期：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 xml:space="preserve">2024.6.26 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联系电话：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8251808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  单位负责人签字：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杨剑波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</w:pP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  <w:t>202</w:t>
      </w: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3"/>
        <w:tblW w:w="100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075"/>
        <w:gridCol w:w="1027"/>
        <w:gridCol w:w="1433"/>
        <w:gridCol w:w="1275"/>
        <w:gridCol w:w="1375"/>
        <w:gridCol w:w="763"/>
        <w:gridCol w:w="913"/>
        <w:gridCol w:w="11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900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岳阳市养老和工伤保险服务中心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算申请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1411.15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1745.26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1745.26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18"/>
                <w:szCs w:val="18"/>
                <w:highlight w:val="none"/>
                <w:lang w:val="en-US" w:eastAsia="zh-CN"/>
              </w:rPr>
              <w:t>100.00%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1668.54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1440.18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305.08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宋体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宋体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国有资本经营财政拨款：73.59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ascii="FangSong_GB2312" w:hAnsi="FangSong_GB2312" w:eastAsia="宋体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FangSong_GB2312" w:hAnsi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3.13</w:t>
            </w:r>
          </w:p>
        </w:tc>
        <w:tc>
          <w:tcPr>
            <w:tcW w:w="41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一是强抓参保扩面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eastAsia="zh-CN"/>
              </w:rPr>
              <w:t>；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二是稳保待遇发放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eastAsia="zh-CN"/>
              </w:rPr>
              <w:t>；三是积极促进征缴；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四是加强工伤预防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eastAsia="zh-CN"/>
              </w:rPr>
              <w:t>；五是全力创先争优</w:t>
            </w:r>
          </w:p>
        </w:tc>
        <w:tc>
          <w:tcPr>
            <w:tcW w:w="41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已完成100%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2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eastAsia="zh-CN"/>
              </w:rPr>
              <w:t>主题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教育专题研讨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≥4次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4次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在职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参保人数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≥30万人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35万人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社会保险费征缴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≥25亿元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25.81亿元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政策咨询次数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≥1万次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1万次以上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温暖社保活动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≥12次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12次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企保和工伤保险整改率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机关事保整改率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99.14%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99.14%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城乡居保整改率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98.19%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98.19%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按时完成各项指标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2023年度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2023年度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控制成本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1745.26万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1745.26万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促进经济发展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经济平稳发展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经济平稳发展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保障居民生活质量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有所保障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有所保障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生态环境有所改善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经济可持续影响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群众满意度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≥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≥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line="600" w:lineRule="exact"/>
        <w:jc w:val="center"/>
        <w:rPr>
          <w:rFonts w:hint="default" w:ascii="Times New Roman" w:hAnsi="Times New Roman" w:eastAsia="FangSong_GB2312" w:cs="Times New Roman"/>
          <w:sz w:val="22"/>
          <w:highlight w:val="none"/>
        </w:rPr>
      </w:pPr>
    </w:p>
    <w:p>
      <w:pPr>
        <w:widowControl/>
        <w:spacing w:line="600" w:lineRule="exact"/>
        <w:jc w:val="center"/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</w:pPr>
      <w:r>
        <w:rPr>
          <w:rFonts w:hint="default" w:ascii="Times New Roman" w:hAnsi="Times New Roman" w:eastAsia="FangSong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周颖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 填报日期：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2024.6.26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联系电话：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8251808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  单位负责人签字：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杨剑波</w:t>
      </w:r>
      <w:r>
        <w:rPr>
          <w:rFonts w:hint="default" w:ascii="Times New Roman" w:hAnsi="Times New Roman" w:eastAsia="FangSong_GB2312" w:cs="Times New Roman"/>
          <w:sz w:val="22"/>
          <w:szCs w:val="22"/>
          <w:highlight w:val="none"/>
        </w:rPr>
        <w:br w:type="page"/>
      </w:r>
    </w:p>
    <w:p>
      <w:pPr>
        <w:spacing w:after="120" w:afterLines="50" w:line="600" w:lineRule="exact"/>
        <w:jc w:val="both"/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</w:pP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  <w:t>202</w:t>
      </w: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3"/>
        <w:tblW w:w="98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065"/>
        <w:gridCol w:w="1052"/>
        <w:gridCol w:w="1200"/>
        <w:gridCol w:w="1216"/>
        <w:gridCol w:w="1216"/>
        <w:gridCol w:w="813"/>
        <w:gridCol w:w="861"/>
        <w:gridCol w:w="13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社保基金专项整治工作经费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岳阳市人力资源和社会保障局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岳阳市养老和工伤保险服务中心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30.00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宋体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30.00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 企业养老、机关养老、工伤保险基金专项整治工作正常开展</w:t>
            </w:r>
          </w:p>
        </w:tc>
        <w:tc>
          <w:tcPr>
            <w:tcW w:w="4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完成100%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服务市本级人数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50万人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50万人　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项目覆盖率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年内按时完成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2023/12/31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2023/12/31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在预算内完成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30.00万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30.00万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参保人员的经济提升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防止基金流失，确保参保人的合法权益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对生态环境的影响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经济生活的持续影响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服务对象满意度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宋体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FangSong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FangSong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FangSong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FangSong_GB2312" w:cs="Times New Roman"/>
          <w:sz w:val="18"/>
          <w:szCs w:val="18"/>
          <w:highlight w:val="none"/>
          <w:lang w:eastAsia="zh-CN"/>
        </w:rPr>
      </w:pPr>
    </w:p>
    <w:p>
      <w:pPr>
        <w:spacing w:after="120" w:afterLines="50" w:line="600" w:lineRule="exact"/>
        <w:jc w:val="both"/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</w:pPr>
      <w:r>
        <w:rPr>
          <w:rFonts w:hint="default" w:ascii="Times New Roman" w:hAnsi="Times New Roman" w:eastAsia="FangSong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周颖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 填报日期：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 xml:space="preserve">2024.6.26 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联系电话：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8251808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  单位负责人签字：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杨剑波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</w:pP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  <w:t>202</w:t>
      </w: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3"/>
        <w:tblW w:w="98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065"/>
        <w:gridCol w:w="1052"/>
        <w:gridCol w:w="1200"/>
        <w:gridCol w:w="1216"/>
        <w:gridCol w:w="1216"/>
        <w:gridCol w:w="813"/>
        <w:gridCol w:w="861"/>
        <w:gridCol w:w="13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个人账户权益及基金转移工作经费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岳阳市人力资源和社会保障局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岳阳市养老和工伤保险服务中心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10.00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eastAsia" w:ascii="FangSong_GB2312" w:hAnsi="FangSong_GB2312" w:eastAsia="宋体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FangSong_GB2312" w:hAnsi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10.00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确保参保人员个人账户权益单及时、免费寄送；确保基金转移工作正常运行。</w:t>
            </w:r>
          </w:p>
        </w:tc>
        <w:tc>
          <w:tcPr>
            <w:tcW w:w="4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完成100%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服务在职参保人数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35万人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35万人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个人账户权益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完全确保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完全确保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年内按时完成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在预算内完成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10万元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10万元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参保人员的经济提升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确保参保人的合法权益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对生态环境的影响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经济生活的持续影响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可持续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可持续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服务对象满意度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宋体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FangSong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FangSong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FangSong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</w:pPr>
    </w:p>
    <w:p>
      <w:pPr>
        <w:rPr>
          <w:rFonts w:hint="default" w:ascii="Times New Roman" w:hAnsi="Times New Roman" w:eastAsia="FangSong_GB2312" w:cs="Times New Roman"/>
          <w:sz w:val="18"/>
          <w:szCs w:val="18"/>
          <w:highlight w:val="none"/>
          <w:lang w:eastAsia="zh-CN"/>
        </w:rPr>
      </w:pPr>
    </w:p>
    <w:p>
      <w:pPr>
        <w:rPr>
          <w:rFonts w:hint="default" w:ascii="Times New Roman" w:hAnsi="Times New Roman" w:eastAsia="FangSong_GB2312" w:cs="Times New Roman"/>
          <w:sz w:val="22"/>
          <w:szCs w:val="22"/>
          <w:highlight w:val="none"/>
        </w:rPr>
      </w:pPr>
      <w:r>
        <w:rPr>
          <w:rFonts w:hint="default" w:ascii="Times New Roman" w:hAnsi="Times New Roman" w:eastAsia="FangSong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周颖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 填报日期：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 xml:space="preserve">2024.6.26 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联系电话：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8251808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  单位负责人签字：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杨剑波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br w:type="page"/>
      </w:r>
    </w:p>
    <w:p>
      <w:pPr>
        <w:spacing w:after="120" w:afterLines="50" w:line="600" w:lineRule="exact"/>
        <w:jc w:val="both"/>
        <w:rPr>
          <w:rFonts w:hint="eastAsia" w:ascii="Times New Roman" w:hAnsi="Times New Roman" w:eastAsia="FangSong_GB2312" w:cs="Times New Roman"/>
          <w:sz w:val="22"/>
          <w:szCs w:val="2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</w:pP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  <w:t>202</w:t>
      </w: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FZXiaoBiaoSong-B05S" w:hAnsi="FZXiaoBiaoSong-B05S" w:eastAsia="FZXiaoBiaoSong-B05S" w:cs="FZXiaoBiaoSong-B05S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3"/>
        <w:tblW w:w="98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065"/>
        <w:gridCol w:w="1052"/>
        <w:gridCol w:w="1200"/>
        <w:gridCol w:w="1216"/>
        <w:gridCol w:w="1216"/>
        <w:gridCol w:w="813"/>
        <w:gridCol w:w="861"/>
        <w:gridCol w:w="13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调整企事业单位退休人员基本养老金、工伤保险待遇工作经费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岳阳市人力资源和社会保障局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岳阳市养老和工伤保险服务中心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20.77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20.77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宋体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20.00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0.77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宋体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0.77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确保及时、足额调整及发放社会保险人员待遇，确保参保人的合法权益。</w:t>
            </w:r>
          </w:p>
        </w:tc>
        <w:tc>
          <w:tcPr>
            <w:tcW w:w="4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完成100%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52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岳阳市本级服务对象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14.5万人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14.5万人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全年发放养老保险、工伤保险待遇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54.18亿元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54.18亿元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确保及时、足额调待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完全确保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完全确保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年内按时完成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在预算内完成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20.77万元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20.77万元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宋体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参保人员的经济提升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确保参保人的合法权益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有所提升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对生态环境的影响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经济生活的持续影响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有所影响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有所影响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服务对象满意度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FangSong_GB2312" w:hAnsi="FangSong_GB2312" w:eastAsia="宋体" w:cs="FangSong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FangSong_GB2312" w:hAnsi="FangSong_GB2312" w:cs="FangSong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FangSong_GB2312" w:hAnsi="FangSong_GB2312" w:eastAsia="FangSong_GB2312" w:cs="FangSong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FangSong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FangSong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FangSong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FangSong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FangSong_GB2312" w:cs="Times New Roman"/>
          <w:sz w:val="18"/>
          <w:szCs w:val="18"/>
          <w:highlight w:val="none"/>
          <w:lang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sz w:val="22"/>
          <w:highlight w:val="none"/>
        </w:rPr>
        <w:t>填表人：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周颖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 填报日期：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 xml:space="preserve">2024.6.26 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联系电话：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8251808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t xml:space="preserve">   单位负责人签字：</w:t>
      </w:r>
      <w:r>
        <w:rPr>
          <w:rFonts w:hint="eastAsia" w:ascii="Times New Roman" w:hAnsi="Times New Roman" w:eastAsia="FangSong_GB2312" w:cs="Times New Roman"/>
          <w:sz w:val="22"/>
          <w:highlight w:val="none"/>
          <w:lang w:val="en-US" w:eastAsia="zh-CN"/>
        </w:rPr>
        <w:t>杨剑波</w:t>
      </w:r>
      <w:r>
        <w:rPr>
          <w:rFonts w:hint="default" w:ascii="Times New Roman" w:hAnsi="Times New Roman" w:eastAsia="FangSong_GB2312" w:cs="Times New Roman"/>
          <w:sz w:val="22"/>
          <w:highlight w:val="none"/>
        </w:rPr>
        <w:br w:type="page"/>
      </w:r>
    </w:p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center"/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</w:pP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  <w:t>202</w:t>
      </w: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  <w:t>年度</w:t>
      </w: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  <w:lang w:val="en-US" w:eastAsia="zh-CN"/>
        </w:rPr>
        <w:t>岳阳市养老和工伤保险服务中心</w:t>
      </w: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  <w:t>部门（单位）整体支出</w:t>
      </w:r>
    </w:p>
    <w:p>
      <w:pPr>
        <w:jc w:val="center"/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</w:pP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  <w:t>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FangSong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部门（单位）名称：</w:t>
      </w: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  <w:u w:val="singl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KaiTi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KaiTi_GB2312" w:cs="Times New Roman"/>
          <w:sz w:val="32"/>
          <w:szCs w:val="32"/>
          <w:highlight w:val="none"/>
          <w:lang w:val="en-US" w:eastAsia="zh-CN"/>
        </w:rPr>
        <w:t>2024</w:t>
      </w:r>
      <w:r>
        <w:rPr>
          <w:rFonts w:hint="default" w:ascii="Times New Roman" w:hAnsi="Times New Roman" w:eastAsia="KaiTi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KaiTi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KaiTi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KaiTi_GB2312" w:cs="Times New Roman"/>
          <w:sz w:val="32"/>
          <w:szCs w:val="32"/>
          <w:highlight w:val="none"/>
          <w:lang w:val="en-US" w:eastAsia="zh-CN"/>
        </w:rPr>
        <w:t>26</w:t>
      </w:r>
      <w:r>
        <w:rPr>
          <w:rFonts w:hint="default" w:ascii="Times New Roman" w:hAnsi="Times New Roman" w:eastAsia="KaiTi_GB2312" w:cs="Times New Roman"/>
          <w:sz w:val="32"/>
          <w:szCs w:val="32"/>
          <w:highlight w:val="none"/>
        </w:rPr>
        <w:t>日</w:t>
      </w:r>
    </w:p>
    <w:p>
      <w:pPr>
        <w:jc w:val="center"/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（此页为封面）</w:t>
      </w: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br w:type="page"/>
      </w: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  <w:t>202</w:t>
      </w: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  <w:t>年度</w:t>
      </w: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  <w:lang w:val="en-US" w:eastAsia="zh-CN"/>
        </w:rPr>
        <w:t>岳阳市养老和工伤保险服务中心</w:t>
      </w: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  <w:t>部门（单位）整体支出</w:t>
      </w:r>
    </w:p>
    <w:p>
      <w:pPr>
        <w:jc w:val="center"/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</w:pPr>
      <w:r>
        <w:rPr>
          <w:rFonts w:hint="eastAsia" w:ascii="FZXiaoBiaoSong-B05S" w:hAnsi="FZXiaoBiaoSong-B05S" w:eastAsia="FZXiaoBiaoSong-B05S" w:cs="FZXiaoBiaoSong-B05S"/>
          <w:sz w:val="44"/>
          <w:szCs w:val="44"/>
          <w:highlight w:val="none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岳阳市养老和工伤保险服务中心位于岳阳楼区炮台山路102号，隶属岳阳市人力资源和社会保障局，是专门从事企业养老保险、机关事业单位养老保险、工伤保险经办工作的公益一类副处级财政全额拨款事业单位。现有人员编制83名，下设部室：综合部、企保基金结算部、企保参保登记部、企保个人账户部、企保退休待遇部、工伤参保登记部、工伤待遇部、工伤预防部、城居保部、内控稽核部、财务部、机关事保所、离退服务所、工伤事故勘察所、党办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  <w:t>（一）基本支出情况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2023年基本支出为1440.18万元，其中：人员经费1274.54万元、日常公用经费165.64万元。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三公经费使用情况：三公经费合计使用1.01万元，全部为公务接待费，接待费实际开支占年初预算的45.50%。2023年“三公”经费支出决算数小于预算数的主要原因是认真贯彻落实中央“八项规定”精神和厉行节约要求，进一步从严控制“三公”经费开支，全年实际支出与预算有所节约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  <w:t>项目支出情况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本单位202</w:t>
      </w:r>
      <w:r>
        <w:rPr>
          <w:rFonts w:hint="eastAsia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年</w:t>
      </w:r>
      <w:r>
        <w:rPr>
          <w:rFonts w:hint="eastAsia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项目支出为305.08万元，其中一般公共预算财政拨款231.49万元，国有资本经营预算财政拨款73.59万元。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 三、政府性基金预算支出情况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本单位202</w:t>
      </w:r>
      <w:r>
        <w:rPr>
          <w:rFonts w:hint="eastAsia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年度无政府性基金预算支出。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国有资本经营预算支出情况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2023年国有资本经营预算支出为73.59万元，为国有企业退休人员社会化管理补助支出，均为项目支出，该项目为非基建项目，用于市本级国有企业退休职工社会化管理服务、短信服务、政策宣传、上门资格认证服务等开支。具体为：办公费12.28万元、印刷费34.09万元、劳务费4.73万元、委托业务费22.06万元、生活补助0.43万元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社会保险基金预算支出情况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本单位202</w:t>
      </w:r>
      <w:r>
        <w:rPr>
          <w:rFonts w:hint="eastAsia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FangSong_GB2312" w:cs="Times New Roman"/>
          <w:color w:val="000000"/>
          <w:kern w:val="0"/>
          <w:sz w:val="32"/>
          <w:szCs w:val="32"/>
          <w:highlight w:val="none"/>
          <w:lang w:val="en-US" w:eastAsia="zh-CN" w:bidi="ar-SA"/>
        </w:rPr>
        <w:t>年度在经费账套内无社会保险基金预算支出，社会保险基金设有独立账套核算，单独进行了绩效评价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六、部门整体支出绩效情况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1、预算配置方面：财政供养人员控制在预算编制内。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2、预算管理方面：本着厉行节俭、只减不增的原则，严格执行“三公经费”标准和审批制度与程序，公用经费、“三公经费”都得到了有效控制。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3、资产管理方面：健全内部控制制度，资产配置合理。对需要经过政府采购的项目均进行了政府采购，制度执行总体有效。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4、职责履行方面：较好的完成了市本级企业职工基本养老保险、机关事业单位养老保险、工伤保险经办管理工作，切实大力宣传各种政策制度，优化服务，社会效益良好，社会公众满意度高。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七、存在的问题及原因分析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认真对照市委市政府和局党组的要求，当前工作还存在着一定困难与问题，一是养老保险参保扩面和提高缴费率有一定难度。养老保险已基本实现全覆盖，目前未参保人员较少，加之养老保险缴费额逐年提高，参保人员存在一定的缴费负担，参保扩面与提高缴费率工作还需进一步攻坚克难。二是追缴违规领取社保基金有一定难度。由于目前暂未实现与公安、民政等部门的实时数据共享，只能通过人社部或省人社厅下发预警信息且信息预警准确度不高，仅靠人社部门追缴手段有限。湖南省人社厅《关于做好困难（特殊）群体多领社会保险待遇追缴工作的通知》（湘人社规〔2022〕30号）至今没有成功在市县一级落地实施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（一）坚持党建引领。把党的政治建设摆在首位，把旗帜鲜明讲政治贯穿于经办工作的全过程、各方面，守好意识形态工作主阵地。推进全面从严治党，深化党风廉政建设和“三型四有”、作风建设主题活动，加强作风建设，夯实全市养老和工伤保险系统干部职工真抓实干的工作作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（二）提升社会保障。继续落实企业职工养老保险全国统筹和工伤保险省级统筹。聚焦“温暖社保”行动计划，加大全面参保专项行动力度。推行社保服务“一窗办”“暖心办”“延伸办”，推进便民服务，实现经办能力全面提升。深入开展“四进四送”集中宣传活动，提升宣传效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（三）维护基金安全。加强部稽核考核系统、省社保中心、基金监管预警系统等渠道下发的疑点数据的分发和核查，加强部门联动,以“零容忍”态度严厉打击、严肃查处违规骗取社会保险待遇违法违纪行为。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（四）突出创先争优。强化绩效考核和真抓实干督查激励考核，严格落实考核机制，全面完成省委省政府、市委市政府以及省、市人社部门下达的目标任务，全力巩固社会保障真抓实干各项考核指标在全省A类地区排名“前二”的成绩，推动我市社会保障事业高质量、可持续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九、部门整体支出绩效自评结果拟应用和公开情况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本单位部门整体支出绩效自评报告已在本单位门户网站公开。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十、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其他需要说明的情况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FangSong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FangSong_GB2312" w:cs="Times New Roman"/>
          <w:sz w:val="32"/>
          <w:szCs w:val="32"/>
          <w:highlight w:val="none"/>
          <w:lang w:val="en-US" w:eastAsia="zh-CN"/>
        </w:rPr>
        <w:t>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FangSong_GB2312" w:hAnsi="FangSong_GB2312" w:eastAsia="FangSong_GB2312" w:cs="FangSong_GB2312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ZXiaoBiaoSong-B05S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53C349"/>
    <w:multiLevelType w:val="singleLevel"/>
    <w:tmpl w:val="9553C34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674F6A9"/>
    <w:multiLevelType w:val="singleLevel"/>
    <w:tmpl w:val="3674F6A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F067417"/>
    <w:multiLevelType w:val="singleLevel"/>
    <w:tmpl w:val="5F0674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465031E"/>
    <w:multiLevelType w:val="singleLevel"/>
    <w:tmpl w:val="7465031E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1MzBmM2MxODNiNDBiMTJmNTY0Zjg2M2Y1M2Q3MzMifQ=="/>
  </w:docVars>
  <w:rsids>
    <w:rsidRoot w:val="59886344"/>
    <w:rsid w:val="025832D3"/>
    <w:rsid w:val="02D23086"/>
    <w:rsid w:val="03260EE3"/>
    <w:rsid w:val="03405BDC"/>
    <w:rsid w:val="03C50E3C"/>
    <w:rsid w:val="03E83E1E"/>
    <w:rsid w:val="043769F9"/>
    <w:rsid w:val="04702B56"/>
    <w:rsid w:val="049F168E"/>
    <w:rsid w:val="056E4032"/>
    <w:rsid w:val="059C5BCD"/>
    <w:rsid w:val="0671705A"/>
    <w:rsid w:val="07630750"/>
    <w:rsid w:val="07FD457E"/>
    <w:rsid w:val="087526A3"/>
    <w:rsid w:val="08D13DE0"/>
    <w:rsid w:val="08E91129"/>
    <w:rsid w:val="0928110A"/>
    <w:rsid w:val="09E61ADE"/>
    <w:rsid w:val="0A2148F3"/>
    <w:rsid w:val="0B2A53A5"/>
    <w:rsid w:val="0B9510F4"/>
    <w:rsid w:val="0BD51E39"/>
    <w:rsid w:val="0C012C2E"/>
    <w:rsid w:val="0C4843B9"/>
    <w:rsid w:val="0CB657C6"/>
    <w:rsid w:val="0E044947"/>
    <w:rsid w:val="0EC93855"/>
    <w:rsid w:val="10802373"/>
    <w:rsid w:val="12415B32"/>
    <w:rsid w:val="12681311"/>
    <w:rsid w:val="14AD5701"/>
    <w:rsid w:val="15BD61F9"/>
    <w:rsid w:val="16D36F75"/>
    <w:rsid w:val="17377504"/>
    <w:rsid w:val="18463EA2"/>
    <w:rsid w:val="186407CC"/>
    <w:rsid w:val="191C10A7"/>
    <w:rsid w:val="1AFD0563"/>
    <w:rsid w:val="1B4C2287"/>
    <w:rsid w:val="1BC872C4"/>
    <w:rsid w:val="1BDB2B53"/>
    <w:rsid w:val="1CDB6B83"/>
    <w:rsid w:val="1D04432C"/>
    <w:rsid w:val="1DB47B00"/>
    <w:rsid w:val="1FA426AA"/>
    <w:rsid w:val="1FBB33C8"/>
    <w:rsid w:val="1FCC251A"/>
    <w:rsid w:val="20684BD2"/>
    <w:rsid w:val="20AB2C63"/>
    <w:rsid w:val="21713356"/>
    <w:rsid w:val="21751354"/>
    <w:rsid w:val="224C6559"/>
    <w:rsid w:val="22E91FFA"/>
    <w:rsid w:val="22FB7F7F"/>
    <w:rsid w:val="23773223"/>
    <w:rsid w:val="23AA02A4"/>
    <w:rsid w:val="241E5CD3"/>
    <w:rsid w:val="24BC54EC"/>
    <w:rsid w:val="25BA2D4F"/>
    <w:rsid w:val="25F969F8"/>
    <w:rsid w:val="26084E8D"/>
    <w:rsid w:val="26C07516"/>
    <w:rsid w:val="26D416F7"/>
    <w:rsid w:val="26E66850"/>
    <w:rsid w:val="272C6959"/>
    <w:rsid w:val="27DC037F"/>
    <w:rsid w:val="28013942"/>
    <w:rsid w:val="28445F24"/>
    <w:rsid w:val="28893B67"/>
    <w:rsid w:val="288A1B89"/>
    <w:rsid w:val="293D6BFB"/>
    <w:rsid w:val="29B33362"/>
    <w:rsid w:val="2A0B6CFA"/>
    <w:rsid w:val="2ACA0963"/>
    <w:rsid w:val="2B4F5680"/>
    <w:rsid w:val="2BE75544"/>
    <w:rsid w:val="2C5A5D16"/>
    <w:rsid w:val="2CB03B88"/>
    <w:rsid w:val="2D4A7B39"/>
    <w:rsid w:val="2DC31699"/>
    <w:rsid w:val="2E666BF4"/>
    <w:rsid w:val="2EF02962"/>
    <w:rsid w:val="2F126434"/>
    <w:rsid w:val="2F990904"/>
    <w:rsid w:val="2FCF2577"/>
    <w:rsid w:val="3016307F"/>
    <w:rsid w:val="303074BA"/>
    <w:rsid w:val="310976D5"/>
    <w:rsid w:val="323935EA"/>
    <w:rsid w:val="33105381"/>
    <w:rsid w:val="33884F17"/>
    <w:rsid w:val="34076784"/>
    <w:rsid w:val="349F4AF7"/>
    <w:rsid w:val="34D50630"/>
    <w:rsid w:val="3509652C"/>
    <w:rsid w:val="355377A7"/>
    <w:rsid w:val="35753BC1"/>
    <w:rsid w:val="36987B67"/>
    <w:rsid w:val="371F5B92"/>
    <w:rsid w:val="387243E8"/>
    <w:rsid w:val="3934169D"/>
    <w:rsid w:val="394C175B"/>
    <w:rsid w:val="39A14F85"/>
    <w:rsid w:val="39A16D33"/>
    <w:rsid w:val="39D72754"/>
    <w:rsid w:val="3A583C64"/>
    <w:rsid w:val="3AA27206"/>
    <w:rsid w:val="3BAB7EA7"/>
    <w:rsid w:val="3BD827B4"/>
    <w:rsid w:val="3CB93B04"/>
    <w:rsid w:val="3D8B21D4"/>
    <w:rsid w:val="3D8E5820"/>
    <w:rsid w:val="3DDD6176"/>
    <w:rsid w:val="3E374568"/>
    <w:rsid w:val="3E691DE9"/>
    <w:rsid w:val="3EC6723B"/>
    <w:rsid w:val="3EF66BA2"/>
    <w:rsid w:val="412A691E"/>
    <w:rsid w:val="414B0CFD"/>
    <w:rsid w:val="41D70F0F"/>
    <w:rsid w:val="426E79CE"/>
    <w:rsid w:val="428835F0"/>
    <w:rsid w:val="42D31F27"/>
    <w:rsid w:val="430F2F5F"/>
    <w:rsid w:val="43C95804"/>
    <w:rsid w:val="43D16466"/>
    <w:rsid w:val="44A26055"/>
    <w:rsid w:val="45D33E85"/>
    <w:rsid w:val="4642189D"/>
    <w:rsid w:val="470448C6"/>
    <w:rsid w:val="4723347D"/>
    <w:rsid w:val="473A07C7"/>
    <w:rsid w:val="477C493B"/>
    <w:rsid w:val="47941A57"/>
    <w:rsid w:val="479C4FDD"/>
    <w:rsid w:val="47C84024"/>
    <w:rsid w:val="4954051F"/>
    <w:rsid w:val="499A379E"/>
    <w:rsid w:val="499E6DEB"/>
    <w:rsid w:val="4A76381D"/>
    <w:rsid w:val="4B201A81"/>
    <w:rsid w:val="4C476403"/>
    <w:rsid w:val="4C683652"/>
    <w:rsid w:val="4CB42DC9"/>
    <w:rsid w:val="4D0576B9"/>
    <w:rsid w:val="4D445EFB"/>
    <w:rsid w:val="4DD82495"/>
    <w:rsid w:val="4DE35714"/>
    <w:rsid w:val="4DEB0793"/>
    <w:rsid w:val="4F0A4F22"/>
    <w:rsid w:val="4F1162B1"/>
    <w:rsid w:val="50722D7F"/>
    <w:rsid w:val="516E1798"/>
    <w:rsid w:val="52262073"/>
    <w:rsid w:val="525210BA"/>
    <w:rsid w:val="528172AA"/>
    <w:rsid w:val="52992845"/>
    <w:rsid w:val="53277E51"/>
    <w:rsid w:val="533418FC"/>
    <w:rsid w:val="538D5DF4"/>
    <w:rsid w:val="54A84FC1"/>
    <w:rsid w:val="55472A2C"/>
    <w:rsid w:val="55672333"/>
    <w:rsid w:val="557E3F74"/>
    <w:rsid w:val="55C027DF"/>
    <w:rsid w:val="565F3DA6"/>
    <w:rsid w:val="56BB1961"/>
    <w:rsid w:val="570E5D0A"/>
    <w:rsid w:val="575C2093"/>
    <w:rsid w:val="587D49B7"/>
    <w:rsid w:val="59184826"/>
    <w:rsid w:val="59886344"/>
    <w:rsid w:val="5A276988"/>
    <w:rsid w:val="5AA4447D"/>
    <w:rsid w:val="5B061086"/>
    <w:rsid w:val="5B3E6680"/>
    <w:rsid w:val="5B6B4F9B"/>
    <w:rsid w:val="5C22431E"/>
    <w:rsid w:val="5CC644AE"/>
    <w:rsid w:val="5CD050B5"/>
    <w:rsid w:val="5DA34B1C"/>
    <w:rsid w:val="5E4E6BDA"/>
    <w:rsid w:val="5E655CD1"/>
    <w:rsid w:val="5EE017FC"/>
    <w:rsid w:val="5EE72B8A"/>
    <w:rsid w:val="5FFF1148"/>
    <w:rsid w:val="603E7279"/>
    <w:rsid w:val="60D61108"/>
    <w:rsid w:val="61332BE4"/>
    <w:rsid w:val="615269E1"/>
    <w:rsid w:val="61C73348"/>
    <w:rsid w:val="62035F2D"/>
    <w:rsid w:val="620D0B5A"/>
    <w:rsid w:val="62214605"/>
    <w:rsid w:val="62663F16"/>
    <w:rsid w:val="62FA10DE"/>
    <w:rsid w:val="633B5253"/>
    <w:rsid w:val="63C11BFC"/>
    <w:rsid w:val="64692EE6"/>
    <w:rsid w:val="64B61035"/>
    <w:rsid w:val="657A4758"/>
    <w:rsid w:val="65A73073"/>
    <w:rsid w:val="66756CCD"/>
    <w:rsid w:val="672C1A82"/>
    <w:rsid w:val="68776D2D"/>
    <w:rsid w:val="693C2ED2"/>
    <w:rsid w:val="6A6B0B13"/>
    <w:rsid w:val="6AD62431"/>
    <w:rsid w:val="6B6B1F2A"/>
    <w:rsid w:val="6B9E440D"/>
    <w:rsid w:val="6CC60283"/>
    <w:rsid w:val="6D1B45D7"/>
    <w:rsid w:val="6D6D6950"/>
    <w:rsid w:val="6DCF3167"/>
    <w:rsid w:val="6E7A1325"/>
    <w:rsid w:val="6EA6036C"/>
    <w:rsid w:val="6F9F2C7C"/>
    <w:rsid w:val="70430561"/>
    <w:rsid w:val="708244C1"/>
    <w:rsid w:val="70CC753E"/>
    <w:rsid w:val="70D067EA"/>
    <w:rsid w:val="718F50E7"/>
    <w:rsid w:val="7294672D"/>
    <w:rsid w:val="7329331A"/>
    <w:rsid w:val="73F76F74"/>
    <w:rsid w:val="74AA2238"/>
    <w:rsid w:val="74C4154C"/>
    <w:rsid w:val="750758DC"/>
    <w:rsid w:val="757C5983"/>
    <w:rsid w:val="75EF25F8"/>
    <w:rsid w:val="76024D84"/>
    <w:rsid w:val="768C7E47"/>
    <w:rsid w:val="77073972"/>
    <w:rsid w:val="77550B81"/>
    <w:rsid w:val="781225CE"/>
    <w:rsid w:val="78DE6804"/>
    <w:rsid w:val="78EC2E1F"/>
    <w:rsid w:val="790068CB"/>
    <w:rsid w:val="792A3948"/>
    <w:rsid w:val="79ED32F3"/>
    <w:rsid w:val="7ACC2F08"/>
    <w:rsid w:val="7AF10BC1"/>
    <w:rsid w:val="7B9E6B08"/>
    <w:rsid w:val="7C2B5021"/>
    <w:rsid w:val="7C8736BE"/>
    <w:rsid w:val="7CEC1640"/>
    <w:rsid w:val="7D5068DB"/>
    <w:rsid w:val="7E355B44"/>
    <w:rsid w:val="7EF90044"/>
    <w:rsid w:val="7F0B1D72"/>
    <w:rsid w:val="7F3948E4"/>
    <w:rsid w:val="7FBA5A25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5599</Words>
  <Characters>6361</Characters>
  <Lines>0</Lines>
  <Paragraphs>0</Paragraphs>
  <TotalTime>5</TotalTime>
  <ScaleCrop>false</ScaleCrop>
  <LinksUpToDate>false</LinksUpToDate>
  <CharactersWithSpaces>6799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颖子</cp:lastModifiedBy>
  <dcterms:modified xsi:type="dcterms:W3CDTF">2024-07-04T03:40:03Z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6182D3A10D564617983F46DEE354AEAF</vt:lpwstr>
  </property>
</Properties>
</file>