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5306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1110" w:lineRule="exact"/>
              <w:ind w:left="20"/>
              <w:jc w:val="center"/>
              <w:rPr>
                <w:rFonts w:ascii="微软雅黑" w:hAnsi="Times New Roman" w:eastAsia="微软雅黑" w:cs="微软雅黑"/>
                <w:b/>
                <w:bCs/>
                <w:sz w:val="84"/>
                <w:szCs w:val="84"/>
              </w:rPr>
            </w:pPr>
            <w:r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  <w:t>岳阳市劳动保障监察支队</w:t>
            </w:r>
            <w:r>
              <w:rPr>
                <w:rFonts w:ascii="微软雅黑" w:hAnsi="Times New Roman" w:eastAsia="微软雅黑" w:cs="微软雅黑"/>
                <w:b/>
                <w:bCs/>
                <w:sz w:val="84"/>
                <w:szCs w:val="84"/>
              </w:rPr>
              <w:t>2023</w:t>
            </w:r>
            <w:r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  <w:t>年度</w:t>
            </w:r>
          </w:p>
          <w:p>
            <w:pPr>
              <w:spacing w:line="1110" w:lineRule="exact"/>
              <w:ind w:left="20"/>
              <w:jc w:val="center"/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</w:pPr>
            <w:r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  <w:t>单位预算</w:t>
            </w:r>
          </w:p>
          <w:p>
            <w:pPr>
              <w:spacing w:line="1110" w:lineRule="exact"/>
              <w:ind w:left="20"/>
              <w:jc w:val="center"/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525" w:lineRule="exact"/>
              <w:ind w:left="20"/>
              <w:jc w:val="center"/>
              <w:rPr>
                <w:rFonts w:ascii="Dialog" w:hAnsi="Times New Roman" w:eastAsia="Dialog" w:cs="Dialog"/>
                <w:sz w:val="44"/>
                <w:szCs w:val="44"/>
              </w:rPr>
            </w:pPr>
            <w:r>
              <w:rPr>
                <w:rFonts w:hint="eastAsia" w:ascii="Dialog" w:hAnsi="Times New Roman" w:eastAsia="Dialog" w:cs="Dialog"/>
                <w:sz w:val="44"/>
                <w:szCs w:val="44"/>
              </w:rPr>
              <w:t>目录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第一部分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第二部分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年单位预算公开表格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、收支总表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、收入总表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、支出总表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4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、支出预算分类汇总表（按政府预算经济分类）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、支出预算分类汇总表（按部门预算经济分类）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6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、财政拨款收支总表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7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8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人员经费（工资福利支出）（按政府预算经济分类）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9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人员经费（工资福利支出）（按部门预算经济分类）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人员经费（对个人和家庭的补助）（按政府预算经济分类）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人员经费（对个人和家庭的补助）（按部门预算经济分类）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公用经费（商品和服务支出）（按政府预算经济分类）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公用经费（商品和服务支出）（按部门预算经济分类）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14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、一般公共预算“三公”经费支出表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、政府性基金预算支出表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16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、政府性基金预算支出分类汇总表（按政府预算经济分类）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17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、政府性基金预算支出分类汇总表（按部门预算经济分类）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18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、国有资本经营预算支出表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19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、财政专户管理资金预算支出表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、专项资金预算汇总表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、项目支出绩效目标表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、单位整体支出绩效目标表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color w:val="FF0000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32"/>
                <w:szCs w:val="32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jc w:val="center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第一部分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一、单位基本概况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（一）职能职责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岳阳市劳动保障监察支队主要职责:拟定全市劳动保障监察工作制度，依法查处和督办重大案件，指导县市区开展劳动监察工作，协调劳动者维权工作，组织处理有关突发事件。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（二）机构设置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内设科室分别是执法一大队、执法二大队、执法三大队、案件受理科、办公室。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二、单位预算单位构成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三、单位收支总体情况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16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表均为空。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（一）收入预算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年度本单位收入预算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436.20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万元，其中，一般公共预算拨款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436.20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万元，政府性基金预算资金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为空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，国有资本经营预算资金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为空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，财政专户管理资金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为空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，上级补助收入资金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万元，事业单位经营收入资金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万元，上年结转结余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万元。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2)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收入较去年增加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77.82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万元，主要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因为一是2023年度部门预算人员类项目增加了医疗费补助支出，社保费基数增加了；二是2023年部门预算人员增加了3人；三是2023年度公用类项目支出预算增加了。</w:t>
            </w:r>
          </w:p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（二）支出预算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年本单位支出预算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436.20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社会保障和就业支出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390.82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210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卫生健康支出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19.98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221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住房保障支出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25.39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万元，支出较去年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增加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77.82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其中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基本支出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增加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143.64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万元，项目支出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减少65.82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（数据来源见表3，将其基本支出、项目支出相加）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。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其中基本支出较上年增加主要是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因为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人员经费和公用经费预算增加了，项目支出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减少主要是原因：一是2023年度基本支出和项目支出科目作了相应调整，2022年项目支出中的资金调整到了基本支出列支。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年一般公共预算拨款支出预算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436.20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社会保障和就业支出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390.82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89.6%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210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卫生健康支出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19.98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4.58%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221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住房保障支出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25.39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5.82%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；具体安排情况如下：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（一）基本支出：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年基本支出年初预算数为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379.70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二）项目支出：2023年项目支出年初预算数为56.50万元（数据来源见表20），是指单位为完成特定行政工作任务或事业发展目标而发生的支出，包括有关业务工作经费、运行维护经费、其他事业发展资金等。其中：办案费专项支出1.50万元，主要用于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劳动监察执法和农民工维权执法办案支出。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,劳动保障监察执法能力建设专项支出30.00万元，主要用于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劳动保障执法监察工作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方面,农民工治欠保支工作专项支出25.00万元，主要用于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和农民工维权治欠保支工作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等方面。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五、政府性基金预算支出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年度本单位无政府性基金安排的支出，所以公开的附件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15-17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（政府性基金预算）为空。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（一）机关运行经费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本单位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年机关运行经费当年一般公共预算拨款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62.25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万元（数据来源见表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12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），比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上一年增加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6.07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增加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12.47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%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。主要原因是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人员增加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日常公用经费预算增加。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（二）“三公”经费预算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本单位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年“三公”经费预算数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4.50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万元（数据来源见表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14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），其中，公务接待费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1.50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万元，因公出国（境）费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0.00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万元，公务用车购置及运行费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3.00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万元（其中，公务用车购置费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0.00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万元，公务用车运行费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3.00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万元）。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年三公经费预算较上年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减少2.5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降低35.71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%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主要原因是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2023年度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因公出国（境）费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公务用车购置费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和其他公共交通费预算数为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，公务接待费预算减少。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（三）一般性支出情况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本单位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年会议费预算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1.38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万元（数据来源见表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13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会议费、培训费），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拟召开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次会议，人数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55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人；培训费预算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0.5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万元，拟开展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次培训，人数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人；计划举办节庆、晚会、论坛、赛事活动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0万元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。（“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年度本单位未计划举办节庆、晚会、论坛、赛事活动。”）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（四）政府采购情况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 xml:space="preserve">  本单位2023年政府采购预算总额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176.8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万元，其中工程类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16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万元，货物类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55.3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万元，服务类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105.5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万元。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（五）国有资产占有使用及新增资产配置情况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 w:firstLine="640" w:firstLineChars="20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截至上年底，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本单位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共有车辆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辆，其中领导干部用车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辆，一般公务用车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辆，其他用车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辆。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价值50万元以上通用设备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台，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价值100万元以上专用设备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台。</w:t>
            </w:r>
          </w:p>
          <w:p>
            <w:pPr>
              <w:spacing w:line="375" w:lineRule="exact"/>
              <w:ind w:left="20" w:firstLine="640" w:firstLineChars="200"/>
              <w:rPr>
                <w:rFonts w:hint="eastAsia"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202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年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拟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报废处置公务用车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0辆，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拟新增配置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车辆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，其中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领导干部用车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辆，一般公务用车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辆，其他用车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辆。</w:t>
            </w:r>
          </w:p>
          <w:p>
            <w:pPr>
              <w:spacing w:line="375" w:lineRule="exact"/>
              <w:ind w:left="20" w:firstLine="640" w:firstLineChars="20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2023年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拟新增配备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价值50万元以上通用设备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台，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价值100万元以上专用设备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台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eastAsia="zh-CN"/>
              </w:rPr>
              <w:t>。（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“2023年度本单位未计划处置或新增车辆、设备等。”）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（六）预算绩效目标说明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本单位所有支出实行绩效目标管理。纳入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年单位整体支出绩效目标的金额为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436.20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万元，其中，基本支出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379.70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万元，项目支出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56.50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万元，详见文尾附表中单位预算公开表格的表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21-22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七、名词解释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jc w:val="center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第二部分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年单位预算公开表格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、收支总表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、收入总表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、支出总表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、支出预算分类汇总表（按政府预算经济分类）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、支出预算分类汇总表（按部门预算经济分类）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6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、财政拨款收支总表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人员经费（工资福利支出）（按政府预算经济分类）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人员经费（工资福利支出）（按部门预算经济分类）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人员经费（对个人和家庭的补助）（按政府预算经济分类）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人员经费（对个人和家庭的补助）（按部门预算经济分类）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公用经费（商品和服务支出）（按政府预算经济分类）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公用经费（商品和服务支出）（按部门预算经济分类）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、一般公共预算“三公”经费支出表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、政府性基金预算支出表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16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、政府性基金预算支出分类汇总表（按政府预算经济分类）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、政府性基金预算支出分类汇总表（按部门预算经济分类）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、国有资本经营预算支出表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、财政专户管理资金预算支出表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、专项资金预算汇总表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、项目支出绩效目标表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、单位整体支出绩效目标表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75" w:lineRule="exact"/>
              <w:ind w:left="20"/>
              <w:rPr>
                <w:rFonts w:ascii="宋体" w:hAnsi="Times New Roman" w:eastAsia="宋体" w:cs="宋体"/>
                <w:color w:val="FF0000"/>
                <w:sz w:val="32"/>
                <w:szCs w:val="32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FF0000"/>
                <w:sz w:val="32"/>
                <w:szCs w:val="32"/>
              </w:rPr>
              <w:t>注：以上单位预算公开报表中，空表表示本单位无相关收支情况。</w:t>
            </w:r>
          </w:p>
        </w:tc>
      </w:tr>
    </w:tbl>
    <w:p/>
    <w:sectPr>
      <w:pgSz w:w="18708" w:h="15840"/>
      <w:pgMar w:top="388" w:right="1080" w:bottom="388" w:left="10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NlYTEzODBhYTY4OTRkZjg4ZWMzNWEzOTVkNDM0MDEifQ=="/>
    <w:docVar w:name="KSO_WPS_MARK_KEY" w:val="06af31bd-e337-4c09-8a2f-9c636f133b10"/>
  </w:docVars>
  <w:rsids>
    <w:rsidRoot w:val="00470123"/>
    <w:rsid w:val="00470123"/>
    <w:rsid w:val="032E5203"/>
    <w:rsid w:val="1B2A3FFF"/>
    <w:rsid w:val="3D5B5B32"/>
    <w:rsid w:val="4CC40745"/>
    <w:rsid w:val="7F48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outlineLvl w:val="0"/>
    </w:pPr>
    <w:rPr>
      <w:b/>
      <w:bCs/>
      <w:sz w:val="32"/>
      <w:szCs w:val="32"/>
    </w:rPr>
  </w:style>
  <w:style w:type="paragraph" w:styleId="4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6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basedOn w:val="9"/>
    <w:link w:val="3"/>
    <w:uiPriority w:val="9"/>
    <w:rPr>
      <w:b/>
      <w:bCs/>
      <w:kern w:val="44"/>
      <w:sz w:val="44"/>
      <w:szCs w:val="44"/>
    </w:rPr>
  </w:style>
  <w:style w:type="character" w:customStyle="1" w:styleId="11">
    <w:name w:val="标题 2 Char"/>
    <w:basedOn w:val="9"/>
    <w:link w:val="4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3 Char"/>
    <w:basedOn w:val="9"/>
    <w:link w:val="5"/>
    <w:semiHidden/>
    <w:uiPriority w:val="9"/>
    <w:rPr>
      <w:b/>
      <w:bCs/>
      <w:sz w:val="32"/>
      <w:szCs w:val="32"/>
    </w:rPr>
  </w:style>
  <w:style w:type="character" w:customStyle="1" w:styleId="13">
    <w:name w:val="页眉 Char"/>
    <w:basedOn w:val="9"/>
    <w:link w:val="7"/>
    <w:semiHidden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脚 Char"/>
    <w:basedOn w:val="9"/>
    <w:link w:val="6"/>
    <w:semiHidden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3328</Words>
  <Characters>3663</Characters>
  <Lines>26</Lines>
  <Paragraphs>7</Paragraphs>
  <TotalTime>1</TotalTime>
  <ScaleCrop>false</ScaleCrop>
  <LinksUpToDate>false</LinksUpToDate>
  <CharactersWithSpaces>3733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2024-08-26T07:31:00Z</dcterms:created>
  <dc:creator>Windows User</dc:creator>
  <cp:lastModifiedBy>方</cp:lastModifiedBy>
  <dcterms:modified xsi:type="dcterms:W3CDTF">2024-09-03T01:43:49Z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252088AECE0945668CB3C1069608A1C8_12</vt:lpwstr>
  </property>
</Properties>
</file>