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both"/>
        <w:rPr>
          <w:rFonts w:ascii="Times New Roman" w:hAnsi="Times New Roman" w:eastAsia="方正小标宋_GBK"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2023年度岳阳市人力资源和社会保障局（单位）整体支出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>
      <w:pPr>
        <w:jc w:val="center"/>
        <w:rPr>
          <w:rFonts w:ascii="Times New Roman" w:hAnsi="Times New Roman" w:eastAsia="方正小标宋_GBK"/>
          <w:b/>
          <w:sz w:val="52"/>
          <w:szCs w:val="52"/>
        </w:rPr>
      </w:pPr>
    </w:p>
    <w:p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b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部门（单位）名称：</w:t>
      </w:r>
      <w:r>
        <w:rPr>
          <w:rFonts w:ascii="Times New Roman" w:hAnsi="Times New Roman" w:eastAsia="仿宋_GB2312"/>
          <w:sz w:val="32"/>
          <w:szCs w:val="32"/>
          <w:u w:val="single"/>
        </w:rPr>
        <w:t>（盖章）</w:t>
      </w:r>
    </w:p>
    <w:p>
      <w:pPr>
        <w:spacing w:line="60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2024</w:t>
      </w:r>
      <w:r>
        <w:rPr>
          <w:rFonts w:ascii="Times New Roman" w:hAnsi="Times New Roman" w:eastAsia="楷体_GB2312"/>
          <w:sz w:val="32"/>
          <w:szCs w:val="32"/>
        </w:rPr>
        <w:t>年</w:t>
      </w:r>
      <w:r>
        <w:rPr>
          <w:rFonts w:hint="eastAsia" w:ascii="Times New Roman" w:hAnsi="Times New Roman" w:eastAsia="楷体_GB2312"/>
          <w:sz w:val="32"/>
          <w:szCs w:val="32"/>
        </w:rPr>
        <w:t>6</w:t>
      </w:r>
      <w:r>
        <w:rPr>
          <w:rFonts w:ascii="Times New Roman" w:hAnsi="Times New Roman" w:eastAsia="楷体_GB2312"/>
          <w:sz w:val="32"/>
          <w:szCs w:val="32"/>
        </w:rPr>
        <w:t>月</w:t>
      </w:r>
      <w:r>
        <w:rPr>
          <w:rFonts w:hint="eastAsia" w:ascii="Times New Roman" w:hAnsi="Times New Roman" w:eastAsia="楷体_GB2312"/>
          <w:sz w:val="32"/>
          <w:szCs w:val="32"/>
        </w:rPr>
        <w:t>25</w:t>
      </w:r>
      <w:r>
        <w:rPr>
          <w:rFonts w:ascii="Times New Roman" w:hAnsi="Times New Roman" w:eastAsia="楷体_GB2312"/>
          <w:sz w:val="32"/>
          <w:szCs w:val="32"/>
        </w:rPr>
        <w:t>日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（此页为封面）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2023年度岳阳市人社局（单位）整体支出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绩效自评报告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部门（单位）基本情况</w:t>
      </w:r>
    </w:p>
    <w:p>
      <w:pPr>
        <w:spacing w:line="560" w:lineRule="exact"/>
        <w:ind w:firstLine="560" w:firstLineChars="200"/>
        <w:rPr>
          <w:rFonts w:ascii="仿宋_GB2312" w:hAnsi="宋体" w:eastAsia="仿宋_GB2312" w:cs="仿宋_GB2312"/>
          <w:szCs w:val="28"/>
        </w:rPr>
      </w:pPr>
      <w:r>
        <w:rPr>
          <w:rFonts w:hint="eastAsia" w:ascii="仿宋_GB2312" w:eastAsia="仿宋_GB2312" w:cs="仿宋"/>
          <w:szCs w:val="28"/>
        </w:rPr>
        <w:t>岳阳市人力资源和社会保障局属于市</w:t>
      </w:r>
      <w:r>
        <w:rPr>
          <w:rFonts w:hint="eastAsia" w:ascii="仿宋_GB2312" w:eastAsia="仿宋_GB2312" w:cs="仿宋"/>
          <w:bCs/>
          <w:snapToGrid w:val="0"/>
          <w:szCs w:val="28"/>
        </w:rPr>
        <w:t>人民政府工作部门，正处级行政单位。</w:t>
      </w:r>
      <w:r>
        <w:rPr>
          <w:rFonts w:hint="eastAsia" w:ascii="仿宋_GB2312" w:hAnsi="宋体" w:eastAsia="仿宋_GB2312" w:cs="仿宋_GB2312"/>
          <w:szCs w:val="28"/>
        </w:rPr>
        <w:t>内设办公室、综合调研室、政策法规科（信访维稳办公室）、财务科、就业创业和失业保险科、人才资源流动管理科、职业能力建设科、专业技术人员管理科、事业单位人事管理科、劳动关系科、工资福利科、职工养老保险科、工伤保险科、城乡居民养老保险科、社会保险基金监督科、表彰奖励科、人事科、机关离退休人员管理服务科、机关党委、机关纪委、机关工会21个科室。</w:t>
      </w:r>
    </w:p>
    <w:p>
      <w:pPr>
        <w:spacing w:line="560" w:lineRule="exact"/>
        <w:ind w:firstLine="560" w:firstLineChars="200"/>
        <w:rPr>
          <w:rFonts w:ascii="仿宋_GB2312" w:hAnsi="宋体" w:eastAsia="仿宋_GB2312" w:cs="仿宋_GB2312"/>
          <w:szCs w:val="28"/>
        </w:rPr>
      </w:pPr>
      <w:r>
        <w:rPr>
          <w:rFonts w:hint="eastAsia" w:ascii="仿宋_GB2312" w:hAnsi="宋体" w:eastAsia="仿宋_GB2312" w:cs="仿宋_GB2312"/>
          <w:szCs w:val="28"/>
        </w:rPr>
        <w:t>下设市就业中心、市养工中心、市仲裁院、市监察支队4个副处级事业单位，市考试中心、市职业技能鉴定中心2个正科级事业单位。其中市就业中心、市养工中心、市监察支队、市职业技能鉴定中心纳入2023年部门预算编制范围，其他不是财务独立核算的单位，全部到主管部门统一编制预算。</w:t>
      </w:r>
    </w:p>
    <w:p>
      <w:pPr>
        <w:spacing w:line="640" w:lineRule="exact"/>
        <w:rPr>
          <w:rFonts w:ascii="Times New Roman" w:hAnsi="Times New Roman" w:eastAsia="黑体"/>
          <w:sz w:val="32"/>
          <w:szCs w:val="32"/>
        </w:rPr>
      </w:pPr>
    </w:p>
    <w:p>
      <w:pPr>
        <w:pStyle w:val="7"/>
        <w:widowControl/>
        <w:spacing w:line="6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7"/>
        <w:widowControl/>
        <w:spacing w:line="640" w:lineRule="exact"/>
        <w:ind w:firstLine="64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（一）基本支出情况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Cs w:val="28"/>
        </w:rPr>
        <w:t>我局本年基本支出为2004.16</w:t>
      </w:r>
      <w:r>
        <w:rPr>
          <w:rFonts w:hint="eastAsia" w:ascii="仿宋_GB2312" w:hAnsi="仿宋_GB2312" w:eastAsia="仿宋_GB2312" w:cs="仿宋_GB2312"/>
          <w:szCs w:val="28"/>
        </w:rPr>
        <w:t>万</w:t>
      </w:r>
      <w:r>
        <w:rPr>
          <w:rFonts w:hint="eastAsia" w:ascii="仿宋_GB2312" w:hAnsi="仿宋_GB2312" w:eastAsia="仿宋_GB2312" w:cs="仿宋_GB2312"/>
          <w:snapToGrid w:val="0"/>
          <w:szCs w:val="28"/>
        </w:rPr>
        <w:t>元，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</w:rPr>
        <w:t>其中人员支出为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1675.95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万元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</w:rPr>
        <w:t>，公用支出为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328.21万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</w:rPr>
        <w:t>元；</w:t>
      </w:r>
    </w:p>
    <w:p>
      <w:pPr>
        <w:pStyle w:val="7"/>
        <w:widowControl/>
        <w:spacing w:line="640" w:lineRule="exact"/>
        <w:ind w:left="0" w:leftChars="0" w:firstLine="0" w:firstLineChars="0"/>
        <w:rPr>
          <w:rFonts w:ascii="Times New Roman" w:hAnsi="Times New Roman" w:eastAsia="楷体_GB2312"/>
          <w:b/>
          <w:sz w:val="32"/>
          <w:szCs w:val="32"/>
        </w:rPr>
      </w:pPr>
    </w:p>
    <w:p>
      <w:pPr>
        <w:pStyle w:val="7"/>
        <w:widowControl/>
        <w:numPr>
          <w:ilvl w:val="0"/>
          <w:numId w:val="2"/>
        </w:numPr>
        <w:spacing w:line="640" w:lineRule="exact"/>
        <w:ind w:firstLine="64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项目支出情况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 w:cs="仿宋"/>
          <w:b w:val="0"/>
          <w:bCs w:val="0"/>
          <w:snapToGrid w:val="0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b w:val="0"/>
          <w:bCs w:val="0"/>
          <w:snapToGrid w:val="0"/>
          <w:kern w:val="0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_GB2312" w:eastAsia="仿宋_GB2312" w:cs="仿宋"/>
          <w:b w:val="0"/>
          <w:bCs w:val="0"/>
          <w:snapToGrid w:val="0"/>
          <w:kern w:val="0"/>
          <w:sz w:val="28"/>
          <w:szCs w:val="28"/>
          <w:highlight w:val="none"/>
          <w:lang w:val="en-US" w:eastAsia="zh-CN"/>
        </w:rPr>
        <w:t>2023</w:t>
      </w:r>
      <w:r>
        <w:rPr>
          <w:rFonts w:eastAsia="仿宋_GB2312"/>
          <w:sz w:val="32"/>
          <w:szCs w:val="32"/>
        </w:rPr>
        <w:t>年度专项资金分配安排和使用管理情况，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 w:cs="仿宋"/>
          <w:snapToGrid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highlight w:val="none"/>
        </w:rPr>
        <w:t>我局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highlight w:val="none"/>
          <w:lang w:eastAsia="zh-CN"/>
        </w:rPr>
        <w:t>本年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</w:rPr>
        <w:t>支出为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lang w:val="en-US" w:eastAsia="zh-CN"/>
        </w:rPr>
        <w:t>767.45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</w:rPr>
        <w:t>元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" w:eastAsia="仿宋_GB2312" w:cs="仿宋"/>
          <w:snapToGrid w:val="0"/>
          <w:kern w:val="0"/>
          <w:sz w:val="28"/>
          <w:szCs w:val="28"/>
          <w:highlight w:val="none"/>
          <w:lang w:val="en-US" w:eastAsia="zh-CN"/>
        </w:rPr>
        <w:t>用于事业单位及三支一扶招考、社保基金监督检查、仲裁办案、信息网络建设、企业规范用工等。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b w:val="0"/>
          <w:bCs w:val="0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_GB2312" w:hAnsi="仿宋" w:eastAsia="仿宋_GB2312" w:cs="仿宋"/>
          <w:b w:val="0"/>
          <w:bCs w:val="0"/>
          <w:sz w:val="28"/>
          <w:szCs w:val="28"/>
          <w:highlight w:val="none"/>
        </w:rPr>
        <w:t>项目资金</w:t>
      </w:r>
      <w:r>
        <w:rPr>
          <w:rFonts w:hint="eastAsia" w:ascii="仿宋_GB2312" w:hAnsi="仿宋" w:eastAsia="仿宋_GB2312" w:cs="仿宋"/>
          <w:b w:val="0"/>
          <w:bCs w:val="0"/>
          <w:sz w:val="28"/>
          <w:szCs w:val="28"/>
          <w:highlight w:val="none"/>
          <w:lang w:eastAsia="zh-CN"/>
        </w:rPr>
        <w:t>使用、</w:t>
      </w:r>
      <w:r>
        <w:rPr>
          <w:rFonts w:hint="eastAsia" w:ascii="仿宋_GB2312" w:hAnsi="仿宋" w:eastAsia="仿宋_GB2312" w:cs="仿宋"/>
          <w:b w:val="0"/>
          <w:bCs w:val="0"/>
          <w:sz w:val="28"/>
          <w:szCs w:val="28"/>
          <w:highlight w:val="none"/>
        </w:rPr>
        <w:t>管理情况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 w:cs="仿宋"/>
          <w:snapToGrid w:val="0"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 w:cs="仿宋"/>
          <w:snapToGrid w:val="0"/>
          <w:kern w:val="0"/>
          <w:sz w:val="28"/>
          <w:szCs w:val="28"/>
          <w:highlight w:val="none"/>
        </w:rPr>
        <w:t>我单位项目资金</w:t>
      </w:r>
      <w:r>
        <w:rPr>
          <w:rFonts w:hint="eastAsia" w:ascii="仿宋_GB2312" w:hAnsi="仿宋" w:eastAsia="仿宋_GB2312" w:cs="仿宋"/>
          <w:snapToGrid w:val="0"/>
          <w:kern w:val="0"/>
          <w:sz w:val="28"/>
          <w:szCs w:val="28"/>
          <w:highlight w:val="none"/>
          <w:lang w:eastAsia="zh-CN"/>
        </w:rPr>
        <w:t>严格</w:t>
      </w:r>
      <w:r>
        <w:rPr>
          <w:rFonts w:hint="eastAsia" w:ascii="仿宋_GB2312" w:hAnsi="仿宋" w:eastAsia="仿宋_GB2312" w:cs="仿宋"/>
          <w:snapToGrid w:val="0"/>
          <w:kern w:val="0"/>
          <w:sz w:val="28"/>
          <w:szCs w:val="28"/>
          <w:highlight w:val="none"/>
        </w:rPr>
        <w:t>依照《会计法》、《会计基础工作规范》、《行政单位财务制度》、《政府会计制度》、《国库集中支付管理规定》和《本单位财务管理制度》与财政年初预算安排的行政运行资金集合管理使用，采取总量控制、计划管理，按预算科目和项目资金的使用规定，坚持勤俭节约、量入为出，保证重点、兼顾一般、从严控制，重大财务事项集体决策科学管理，保证财政资金的安全和高效运行。</w:t>
      </w:r>
    </w:p>
    <w:p>
      <w:pPr>
        <w:pStyle w:val="7"/>
        <w:widowControl/>
        <w:numPr>
          <w:ilvl w:val="0"/>
          <w:numId w:val="0"/>
        </w:numPr>
        <w:spacing w:line="640" w:lineRule="exact"/>
        <w:rPr>
          <w:rFonts w:ascii="Times New Roman" w:hAnsi="Times New Roman" w:eastAsia="楷体_GB2312"/>
          <w:b/>
          <w:sz w:val="32"/>
          <w:szCs w:val="32"/>
        </w:rPr>
      </w:pPr>
    </w:p>
    <w:p>
      <w:pPr>
        <w:pStyle w:val="7"/>
        <w:widowControl/>
        <w:numPr>
          <w:ilvl w:val="0"/>
          <w:numId w:val="0"/>
        </w:numPr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三、</w:t>
      </w:r>
      <w:r>
        <w:rPr>
          <w:rFonts w:ascii="Times New Roman" w:hAnsi="Times New Roman" w:eastAsia="黑体"/>
          <w:sz w:val="32"/>
          <w:szCs w:val="32"/>
        </w:rPr>
        <w:t>政府性基金预算支出情况</w:t>
      </w:r>
    </w:p>
    <w:p>
      <w:pPr>
        <w:pStyle w:val="7"/>
        <w:widowControl/>
        <w:numPr>
          <w:ilvl w:val="0"/>
          <w:numId w:val="0"/>
        </w:numPr>
        <w:spacing w:line="640" w:lineRule="exact"/>
        <w:ind w:left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highlight w:val="none"/>
          <w:lang w:eastAsia="zh-CN"/>
        </w:rPr>
        <w:t>本单位无</w:t>
      </w:r>
      <w:r>
        <w:rPr>
          <w:rFonts w:hint="default" w:ascii="仿宋_GB2312" w:hAnsi="仿宋_GB2312" w:eastAsia="仿宋_GB2312" w:cs="仿宋_GB2312"/>
          <w:snapToGrid w:val="0"/>
          <w:kern w:val="0"/>
          <w:sz w:val="28"/>
          <w:szCs w:val="28"/>
          <w:highlight w:val="none"/>
          <w:lang w:eastAsia="zh-CN"/>
        </w:rPr>
        <w:t>政府性基金预算支出</w:t>
      </w:r>
    </w:p>
    <w:p>
      <w:pPr>
        <w:pStyle w:val="7"/>
        <w:widowControl/>
        <w:numPr>
          <w:ilvl w:val="0"/>
          <w:numId w:val="3"/>
        </w:numPr>
        <w:spacing w:line="6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国有资本经营预算支出情况</w:t>
      </w:r>
    </w:p>
    <w:p>
      <w:pPr>
        <w:pStyle w:val="7"/>
        <w:widowControl/>
        <w:numPr>
          <w:ilvl w:val="0"/>
          <w:numId w:val="0"/>
        </w:numPr>
        <w:spacing w:line="640" w:lineRule="exact"/>
        <w:ind w:firstLine="56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highlight w:val="none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highlight w:val="none"/>
          <w:lang w:val="en-US" w:eastAsia="zh-CN"/>
        </w:rPr>
        <w:t>无</w:t>
      </w:r>
      <w:r>
        <w:rPr>
          <w:rFonts w:hint="default" w:ascii="仿宋_GB2312" w:hAnsi="仿宋_GB2312" w:eastAsia="仿宋_GB2312" w:cs="仿宋_GB2312"/>
          <w:snapToGrid w:val="0"/>
          <w:kern w:val="0"/>
          <w:sz w:val="28"/>
          <w:szCs w:val="28"/>
          <w:highlight w:val="none"/>
          <w:lang w:eastAsia="zh-CN"/>
        </w:rPr>
        <w:t>国有资本经营预算支出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highlight w:val="none"/>
          <w:lang w:eastAsia="zh-CN"/>
        </w:rPr>
        <w:t>。</w:t>
      </w:r>
    </w:p>
    <w:p>
      <w:pPr>
        <w:pStyle w:val="7"/>
        <w:widowControl/>
        <w:numPr>
          <w:ilvl w:val="0"/>
          <w:numId w:val="3"/>
        </w:numPr>
        <w:spacing w:line="640" w:lineRule="exact"/>
        <w:ind w:left="0" w:lef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社会保险基金预算支出情况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both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highlight w:val="none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highlight w:val="none"/>
          <w:lang w:val="en-US" w:eastAsia="zh-CN"/>
        </w:rPr>
        <w:t>无</w:t>
      </w:r>
      <w:r>
        <w:rPr>
          <w:rFonts w:hint="default" w:ascii="仿宋_GB2312" w:hAnsi="仿宋_GB2312" w:eastAsia="仿宋_GB2312" w:cs="仿宋_GB2312"/>
          <w:snapToGrid w:val="0"/>
          <w:kern w:val="0"/>
          <w:sz w:val="28"/>
          <w:szCs w:val="28"/>
          <w:highlight w:val="none"/>
          <w:lang w:eastAsia="zh-CN"/>
        </w:rPr>
        <w:t>社会保险基金预算支出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highlight w:val="none"/>
          <w:lang w:eastAsia="zh-CN"/>
        </w:rPr>
        <w:t>。</w:t>
      </w:r>
    </w:p>
    <w:p>
      <w:pPr>
        <w:widowControl/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六、部门整体支出绩效情况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2023年度，我局在“四本预算”支出的绩效目标管理下，取得了显著成效，不仅全面超额完成了预定的各项就业指标，还有效促进了社会稳定和经济发展，提升了服务对象的满意度，展现了良好的资产管理与业务开展能力，具体表现如下：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 w:cs="仿宋"/>
          <w:snapToGrid w:val="0"/>
          <w:kern w:val="0"/>
          <w:sz w:val="28"/>
          <w:szCs w:val="28"/>
        </w:rPr>
      </w:pPr>
      <w:r>
        <w:rPr>
          <w:rFonts w:hint="eastAsia" w:ascii="仿宋_GB2312" w:eastAsia="仿宋_GB2312" w:cs="仿宋"/>
          <w:snapToGrid w:val="0"/>
          <w:kern w:val="0"/>
          <w:sz w:val="28"/>
          <w:szCs w:val="28"/>
          <w:lang w:eastAsia="zh-CN"/>
        </w:rPr>
        <w:t>运行成本与管理效率：</w:t>
      </w:r>
      <w:r>
        <w:rPr>
          <w:rFonts w:hint="eastAsia" w:ascii="仿宋_GB2312" w:hAnsi="仿宋" w:eastAsia="仿宋_GB2312" w:cs="仿宋"/>
          <w:snapToGrid w:val="0"/>
          <w:kern w:val="0"/>
          <w:sz w:val="28"/>
          <w:szCs w:val="28"/>
        </w:rPr>
        <w:t>本年预算配置控制较好，财政供养人员控制在预算编制以内，</w:t>
      </w:r>
      <w:r>
        <w:rPr>
          <w:rFonts w:hint="eastAsia" w:ascii="仿宋_GB2312" w:eastAsia="仿宋_GB2312" w:cs="仿宋"/>
          <w:snapToGrid w:val="0"/>
          <w:kern w:val="0"/>
          <w:sz w:val="28"/>
          <w:szCs w:val="28"/>
          <w:lang w:eastAsia="zh-CN"/>
        </w:rPr>
        <w:t>编制数</w:t>
      </w:r>
      <w:r>
        <w:rPr>
          <w:rFonts w:hint="eastAsia" w:ascii="仿宋_GB2312" w:eastAsia="仿宋_GB2312" w:cs="仿宋"/>
          <w:snapToGrid w:val="0"/>
          <w:kern w:val="0"/>
          <w:sz w:val="28"/>
          <w:szCs w:val="28"/>
          <w:lang w:val="en-US" w:eastAsia="zh-CN"/>
        </w:rPr>
        <w:t>77人，2023年实际在职人数76人。</w:t>
      </w:r>
      <w:r>
        <w:rPr>
          <w:rFonts w:hint="eastAsia" w:ascii="仿宋_GB2312" w:hAnsi="仿宋" w:eastAsia="仿宋_GB2312" w:cs="仿宋"/>
          <w:snapToGrid w:val="0"/>
          <w:kern w:val="0"/>
          <w:sz w:val="28"/>
          <w:szCs w:val="28"/>
        </w:rPr>
        <w:t>“三公经费”总额</w:t>
      </w:r>
      <w:r>
        <w:rPr>
          <w:rFonts w:hint="eastAsia" w:ascii="仿宋_GB2312" w:hAnsi="仿宋" w:eastAsia="仿宋_GB2312" w:cs="仿宋"/>
          <w:snapToGrid w:val="0"/>
          <w:kern w:val="0"/>
          <w:sz w:val="28"/>
          <w:szCs w:val="28"/>
          <w:lang w:eastAsia="zh-CN"/>
        </w:rPr>
        <w:t>总体控制较好</w:t>
      </w:r>
      <w:r>
        <w:rPr>
          <w:rFonts w:hint="eastAsia" w:ascii="仿宋_GB2312" w:eastAsia="仿宋_GB2312" w:cs="仿宋"/>
          <w:snapToGrid w:val="0"/>
          <w:kern w:val="0"/>
          <w:sz w:val="28"/>
          <w:szCs w:val="28"/>
          <w:lang w:eastAsia="zh-CN"/>
        </w:rPr>
        <w:t>，</w:t>
      </w:r>
      <w:r>
        <w:rPr>
          <w:rFonts w:hint="eastAsia" w:ascii="仿宋_GB2312" w:eastAsia="仿宋_GB2312" w:cs="仿宋"/>
          <w:snapToGrid w:val="0"/>
          <w:kern w:val="0"/>
          <w:sz w:val="28"/>
          <w:szCs w:val="28"/>
          <w:lang w:val="en-US" w:eastAsia="zh-CN"/>
        </w:rPr>
        <w:t>2023年三公经费预算数24万元，决算数为10.52万元</w:t>
      </w:r>
      <w:r>
        <w:rPr>
          <w:rFonts w:hint="eastAsia" w:ascii="仿宋_GB2312" w:hAnsi="仿宋" w:eastAsia="仿宋_GB2312" w:cs="仿宋"/>
          <w:snapToGrid w:val="0"/>
          <w:kern w:val="0"/>
          <w:sz w:val="28"/>
          <w:szCs w:val="28"/>
        </w:rPr>
        <w:t>。</w:t>
      </w:r>
    </w:p>
    <w:p>
      <w:pPr>
        <w:spacing w:line="5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eastAsia="仿宋_GB2312" w:cs="仿宋"/>
          <w:snapToGrid w:val="0"/>
          <w:kern w:val="0"/>
          <w:sz w:val="28"/>
          <w:szCs w:val="28"/>
          <w:lang w:val="en-US" w:eastAsia="zh-CN"/>
        </w:rPr>
        <w:t>履职效能：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年度，我局认真落实绩效管理目标，转变观念。根据年初工作计划和重点工作，围绕市委、市政府的工作部署，积极履行职责，强化管理，很好地完成了年度工作目标，同时加强了预算收支的管理，建立健全了内部管理制度，严格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内部管理流程，部门整体支出管理得到了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有效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提升。各项业务指标全面完成。</w:t>
      </w:r>
    </w:p>
    <w:p>
      <w:pPr>
        <w:spacing w:line="600" w:lineRule="exact"/>
        <w:ind w:firstLine="560" w:firstLineChars="200"/>
        <w:rPr>
          <w:rFonts w:hint="default" w:ascii="仿宋_GB2312" w:eastAsia="仿宋_GB2312" w:cs="仿宋"/>
          <w:snapToGrid w:val="0"/>
          <w:kern w:val="0"/>
          <w:sz w:val="28"/>
          <w:szCs w:val="28"/>
          <w:lang w:eastAsia="zh-CN"/>
        </w:rPr>
      </w:pPr>
      <w:r>
        <w:rPr>
          <w:rFonts w:hint="eastAsia" w:ascii="仿宋_GB2312" w:eastAsia="仿宋_GB2312" w:cs="仿宋"/>
          <w:snapToGrid w:val="0"/>
          <w:kern w:val="0"/>
          <w:sz w:val="28"/>
          <w:szCs w:val="28"/>
          <w:lang w:val="en-US" w:eastAsia="zh-CN"/>
        </w:rPr>
        <w:t>社会效能：</w:t>
      </w:r>
      <w:r>
        <w:rPr>
          <w:rFonts w:hint="default" w:ascii="仿宋_GB2312" w:eastAsia="仿宋_GB2312" w:cs="仿宋"/>
          <w:snapToGrid w:val="0"/>
          <w:kern w:val="0"/>
          <w:sz w:val="28"/>
          <w:szCs w:val="28"/>
          <w:lang w:eastAsia="zh-CN"/>
        </w:rPr>
        <w:t>创新开展“就业服务进校园”“直播带岗”“巴陵招聘夜市”等活动；出台了</w:t>
      </w:r>
      <w:r>
        <w:rPr>
          <w:rFonts w:hint="eastAsia" w:ascii="仿宋_GB2312" w:eastAsia="仿宋_GB2312" w:cs="仿宋"/>
          <w:snapToGrid w:val="0"/>
          <w:kern w:val="0"/>
          <w:sz w:val="28"/>
          <w:szCs w:val="28"/>
          <w:lang w:eastAsia="zh-CN"/>
        </w:rPr>
        <w:t>稳就业</w:t>
      </w:r>
      <w:r>
        <w:rPr>
          <w:rFonts w:hint="default" w:ascii="仿宋_GB2312" w:eastAsia="仿宋_GB2312" w:cs="仿宋"/>
          <w:snapToGrid w:val="0"/>
          <w:kern w:val="0"/>
          <w:sz w:val="28"/>
          <w:szCs w:val="28"/>
          <w:lang w:eastAsia="zh-CN"/>
        </w:rPr>
        <w:t>促发展惠民生十二条措施</w:t>
      </w:r>
      <w:r>
        <w:rPr>
          <w:rFonts w:hint="eastAsia" w:ascii="仿宋_GB2312" w:eastAsia="仿宋_GB2312" w:cs="仿宋"/>
          <w:snapToGrid w:val="0"/>
          <w:kern w:val="0"/>
          <w:sz w:val="28"/>
          <w:szCs w:val="28"/>
          <w:lang w:eastAsia="zh-CN"/>
        </w:rPr>
        <w:t>；</w:t>
      </w:r>
      <w:r>
        <w:rPr>
          <w:rFonts w:hint="default" w:ascii="仿宋_GB2312" w:eastAsia="仿宋_GB2312" w:cs="仿宋"/>
          <w:snapToGrid w:val="0"/>
          <w:kern w:val="0"/>
          <w:sz w:val="28"/>
          <w:szCs w:val="28"/>
          <w:lang w:eastAsia="zh-CN"/>
        </w:rPr>
        <w:t>在省内率先实施20万元创业担保贷款免除反担保；退捕渔民转产就业工作多次被央视和国家级媒体推介</w:t>
      </w:r>
      <w:r>
        <w:rPr>
          <w:rFonts w:hint="eastAsia" w:ascii="仿宋_GB2312" w:eastAsia="仿宋_GB2312" w:cs="仿宋"/>
          <w:snapToGrid w:val="0"/>
          <w:kern w:val="0"/>
          <w:sz w:val="28"/>
          <w:szCs w:val="28"/>
          <w:lang w:eastAsia="zh-CN"/>
        </w:rPr>
        <w:t>。</w:t>
      </w:r>
    </w:p>
    <w:p>
      <w:pPr>
        <w:spacing w:line="600" w:lineRule="exact"/>
        <w:ind w:firstLine="560" w:firstLineChars="200"/>
      </w:pPr>
      <w:r>
        <w:rPr>
          <w:rFonts w:hint="eastAsia" w:ascii="仿宋_GB2312" w:eastAsia="仿宋_GB2312" w:cs="仿宋"/>
          <w:snapToGrid w:val="0"/>
          <w:kern w:val="0"/>
          <w:sz w:val="28"/>
          <w:szCs w:val="28"/>
          <w:lang w:val="en-US" w:eastAsia="zh-CN"/>
        </w:rPr>
        <w:t>可持续发展能力：</w:t>
      </w:r>
      <w:r>
        <w:rPr>
          <w:rFonts w:hint="default" w:ascii="仿宋_GB2312" w:eastAsia="仿宋_GB2312" w:cs="仿宋"/>
          <w:snapToGrid w:val="0"/>
          <w:kern w:val="0"/>
          <w:sz w:val="28"/>
          <w:szCs w:val="28"/>
          <w:lang w:eastAsia="zh-CN"/>
        </w:rPr>
        <w:t>近年来，在市委、市政府的坚强领导下，</w:t>
      </w:r>
      <w:r>
        <w:rPr>
          <w:rFonts w:hint="eastAsia" w:ascii="仿宋_GB2312" w:eastAsia="仿宋_GB2312" w:cs="仿宋"/>
          <w:snapToGrid w:val="0"/>
          <w:kern w:val="0"/>
          <w:sz w:val="28"/>
          <w:szCs w:val="28"/>
          <w:lang w:eastAsia="zh-CN"/>
        </w:rPr>
        <w:t>按照产业强劲、开放领跑、绿色示范、人民共富的发展思路，</w:t>
      </w:r>
      <w:r>
        <w:rPr>
          <w:rFonts w:hint="default" w:ascii="仿宋_GB2312" w:eastAsia="仿宋_GB2312" w:cs="仿宋"/>
          <w:snapToGrid w:val="0"/>
          <w:kern w:val="0"/>
          <w:sz w:val="28"/>
          <w:szCs w:val="28"/>
          <w:lang w:eastAsia="zh-CN"/>
        </w:rPr>
        <w:t>围绕“民生为本，人才优先”工作主线，攻坚克难、争先创优，在各项大战大考中，为全市经济社会发展提供了强有力的支撑和保障。</w:t>
      </w:r>
    </w:p>
    <w:p>
      <w:pPr>
        <w:pStyle w:val="7"/>
        <w:widowControl/>
        <w:spacing w:line="64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七、存在的问题及原因分析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1、预算管理制度不够完善，年初预算不够精细，尚未建立规范的预算制度和标准化管理体系。</w:t>
      </w:r>
    </w:p>
    <w:p>
      <w:pPr>
        <w:spacing w:line="560" w:lineRule="exact"/>
        <w:ind w:firstLine="56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2、内控制度需进一步完善，随着资金管理改革的进一步推进，我单位内部机构进行了相应的优化，建立健全了财务管理制度、费用报销规程等制度，但仍需进一步强化财务约束监督体制。</w:t>
      </w:r>
    </w:p>
    <w:p>
      <w:pPr>
        <w:widowControl/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八、下一步改进措施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1、细化预算编制工作，进一步强化预算管理。严格按照预算编制的相关制度和要求，根据单位的年度工作重点工作规划，本着“勤俭节约、保障运转”的原则进行预算的编制，编制范围尽可能全面，不漏项。加强预算支出的审核、跟踪及预算执行情况分析，提高预算编制的科学性、合理性、严谨性和可控性。</w:t>
      </w:r>
    </w:p>
    <w:p>
      <w:pPr>
        <w:spacing w:line="560" w:lineRule="exact"/>
        <w:ind w:firstLine="560" w:firstLineChars="200"/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２、加强财务管理，强化内部控制。严格费用审核，强化资产管理，完善内部控制制度，提升管理效能，强化人才支撑和社会保障职能。</w:t>
      </w:r>
    </w:p>
    <w:p>
      <w:pPr>
        <w:widowControl/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九、部门整体支出绩效自评结果拟应用和公开情况</w:t>
      </w:r>
    </w:p>
    <w:p>
      <w:pPr>
        <w:spacing w:line="560" w:lineRule="exact"/>
        <w:ind w:firstLine="560" w:firstLineChars="200"/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我单位根据整体支出绩效评定指标对各项量化评价，将部门整体支出绩效自评客观、准确、全面、完整纳入机构年底绩效考核的依据之一。</w:t>
      </w:r>
    </w:p>
    <w:p>
      <w:pPr>
        <w:widowControl/>
        <w:spacing w:line="64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十、</w:t>
      </w:r>
      <w:r>
        <w:rPr>
          <w:rFonts w:ascii="Times New Roman" w:hAnsi="Times New Roman" w:eastAsia="黑体"/>
          <w:sz w:val="32"/>
          <w:szCs w:val="32"/>
        </w:rPr>
        <w:t>其他需要说明的情况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其他需要说明的情况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/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6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6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6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2D5FCB"/>
    <w:multiLevelType w:val="singleLevel"/>
    <w:tmpl w:val="B62D5FC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97CE48D"/>
    <w:multiLevelType w:val="singleLevel"/>
    <w:tmpl w:val="B97CE48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5B73DD1"/>
    <w:multiLevelType w:val="singleLevel"/>
    <w:tmpl w:val="C5B73D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9886344"/>
    <w:rsid w:val="00087E49"/>
    <w:rsid w:val="00183D85"/>
    <w:rsid w:val="004C4BBE"/>
    <w:rsid w:val="005A437F"/>
    <w:rsid w:val="005E5BE4"/>
    <w:rsid w:val="00632307"/>
    <w:rsid w:val="00657A35"/>
    <w:rsid w:val="007413C4"/>
    <w:rsid w:val="00875E3C"/>
    <w:rsid w:val="009407EC"/>
    <w:rsid w:val="009E7351"/>
    <w:rsid w:val="009F6FBE"/>
    <w:rsid w:val="00C6416C"/>
    <w:rsid w:val="00FC4612"/>
    <w:rsid w:val="142A7DFB"/>
    <w:rsid w:val="18B501F9"/>
    <w:rsid w:val="1E675325"/>
    <w:rsid w:val="1FFD18FC"/>
    <w:rsid w:val="352A4DE2"/>
    <w:rsid w:val="356C6B72"/>
    <w:rsid w:val="4E091D6F"/>
    <w:rsid w:val="53282DC8"/>
    <w:rsid w:val="59886344"/>
    <w:rsid w:val="5C5F2EEE"/>
    <w:rsid w:val="62F61A95"/>
    <w:rsid w:val="75CD6FC9"/>
    <w:rsid w:val="797B5309"/>
    <w:rsid w:val="79E034DB"/>
    <w:rsid w:val="DFEF8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eastAsia="仿宋" w:cs="仿宋"/>
      <w:sz w:val="31"/>
      <w:szCs w:val="31"/>
      <w:lang w:eastAsia="en-US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6892</Words>
  <Characters>3642</Characters>
  <Lines>30</Lines>
  <Paragraphs>21</Paragraphs>
  <TotalTime>29</TotalTime>
  <ScaleCrop>false</ScaleCrop>
  <LinksUpToDate>false</LinksUpToDate>
  <CharactersWithSpaces>10513</CharactersWithSpaces>
  <Application>WPS Office_10.8.2.7164_F1E327BC-269C-435d-A152-05C5408002CA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2024-03-18T08:36:00Z</dcterms:created>
  <dc:creator>Administrator</dc:creator>
  <cp:lastModifiedBy>Administrator</cp:lastModifiedBy>
  <cp:lastPrinted>2024-06-27T07:26:00Z</cp:lastPrinted>
  <dcterms:modified xsi:type="dcterms:W3CDTF">2024-07-04T09:24:18Z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2052-10.8.2.7164</vt:lpwstr>
  </property>
  <property fmtid="{D5CDD505-2E9C-101B-9397-08002B2CF9AE}" pid="3" name="ICV">
    <vt:lpwstr>6182D3A10D564617983F46DEE354AEAF</vt:lpwstr>
  </property>
</Properties>
</file>