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562" w:firstLineChars="20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岳阳市启航教育培训学校创业培训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1期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直播创业学员班课程安排（6天线下+2天线上）</w:t>
      </w:r>
    </w:p>
    <w:tbl>
      <w:tblPr>
        <w:tblStyle w:val="4"/>
        <w:tblW w:w="939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850"/>
        <w:gridCol w:w="2275"/>
        <w:gridCol w:w="3139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widowControl/>
              <w:tabs>
                <w:tab w:val="left" w:pos="1271"/>
              </w:tabs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418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2275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课程主题</w:t>
            </w:r>
          </w:p>
        </w:tc>
        <w:tc>
          <w:tcPr>
            <w:tcW w:w="3139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1001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widowControl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0-12:00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开班</w:t>
            </w: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项目介绍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  <w:p>
            <w:pPr>
              <w:widowControl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创建互助学习小组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网络创业与直播经济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直播创业项目选择与分析</w:t>
            </w:r>
          </w:p>
        </w:tc>
        <w:tc>
          <w:tcPr>
            <w:tcW w:w="3139" w:type="dxa"/>
            <w:vAlign w:val="center"/>
          </w:tcPr>
          <w:p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直播创业项目挖掘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  <w:p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</w:t>
            </w:r>
            <w:r>
              <w:rPr>
                <w:rFonts w:ascii="仿宋" w:hAnsi="仿宋" w:eastAsia="仿宋" w:cs="仿宋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Cs w:val="21"/>
              </w:rPr>
              <w:t>分析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直播创业风险评估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0-12:00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直播创业筹划</w:t>
            </w: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直播内容筹划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直播现场筹划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直播运营（上）</w:t>
            </w: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直播运营概述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商品定位与拍摄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0-12:00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直播运营（下）</w:t>
            </w: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直播运营设计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  <w:p>
            <w:pPr>
              <w:widowControl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邵文娟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直播实施（上）</w:t>
            </w: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开播前的准备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  <w:p>
            <w:pPr>
              <w:widowControl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邵文娟</w:t>
            </w:r>
          </w:p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商品发布与呈现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0-12:00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直播实施（中）</w:t>
            </w:r>
          </w:p>
        </w:tc>
        <w:tc>
          <w:tcPr>
            <w:tcW w:w="3139" w:type="dxa"/>
            <w:vAlign w:val="center"/>
          </w:tcPr>
          <w:p>
            <w:pPr>
              <w:widowControl/>
              <w:spacing w:line="160" w:lineRule="atLeast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直播中实施与管控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  <w:p>
            <w:pPr>
              <w:widowControl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邵文娟</w:t>
            </w:r>
          </w:p>
          <w:p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3139" w:type="dxa"/>
            <w:vAlign w:val="center"/>
          </w:tcPr>
          <w:p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模拟直播准备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spacing w:line="16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直播实施（下）</w:t>
            </w: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直播演练与总结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  <w:p>
            <w:pPr>
              <w:widowControl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邵文娟</w:t>
            </w:r>
          </w:p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下播后复盘总结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0-12:00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</w:t>
            </w: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</w:t>
            </w:r>
            <w:r>
              <w:rPr>
                <w:rFonts w:ascii="仿宋" w:hAnsi="仿宋" w:eastAsia="仿宋" w:cs="仿宋"/>
                <w:szCs w:val="21"/>
              </w:rPr>
              <w:t>渠道、方式、规划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  <w:p>
            <w:pPr>
              <w:widowControl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直播推广实践</w:t>
            </w: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短视频定位与拍摄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  <w:p>
            <w:pPr>
              <w:widowControl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刘诚威</w:t>
            </w:r>
          </w:p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短视频剪辑与发布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0-12:00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Cs w:val="21"/>
              </w:rPr>
              <w:t>授课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第三方直播平台实践</w:t>
            </w: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第三方平台直播实践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  <w:p>
            <w:pPr>
              <w:widowControl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刘诚威</w:t>
            </w:r>
          </w:p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直播运营优化</w:t>
            </w: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直播优化思路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直播运营数据效果分析及优化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85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结班考核</w:t>
            </w: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理论考试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  <w:p>
            <w:pPr>
              <w:widowControl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刘诚威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实践成果提交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3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直播规划书提交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日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在线学习+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在线指导</w:t>
            </w:r>
          </w:p>
        </w:tc>
        <w:tc>
          <w:tcPr>
            <w:tcW w:w="2275" w:type="dxa"/>
            <w:vMerge w:val="restart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直播创业筹划实例</w:t>
            </w:r>
          </w:p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直播人员筹划</w:t>
            </w:r>
          </w:p>
        </w:tc>
        <w:tc>
          <w:tcPr>
            <w:tcW w:w="1001" w:type="dxa"/>
            <w:vMerge w:val="restart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7课时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直播资金筹划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电商运营管理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模拟商城注册及开店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商品发布流程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电商运营管理概述和原理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第三方直播平台运营管理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第三方直播平台注册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抖音小店注册流程与要求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color w:val="auto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color w:val="auto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color w:val="auto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抖音橱窗开设与发布产品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短视制作技巧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短视频的思路与定位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短视频制作工具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14" w:type="dxa"/>
            <w:gridSpan w:val="2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实践任务：</w:t>
            </w:r>
          </w:p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1.完成模拟商城开店及商品发布</w:t>
            </w:r>
          </w:p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2.完成第三方直播平台注册</w:t>
            </w:r>
          </w:p>
          <w:p>
            <w:pPr>
              <w:widowControl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3.完成相应主题短视频设计制作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日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2"/>
            <w:vAlign w:val="top"/>
          </w:tcPr>
          <w:p>
            <w:pPr>
              <w:widowControl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Merge w:val="restart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在线学习+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在线指导</w:t>
            </w:r>
          </w:p>
        </w:tc>
        <w:tc>
          <w:tcPr>
            <w:tcW w:w="2275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第三方平台直播设计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抖音直播如何设计</w:t>
            </w:r>
          </w:p>
        </w:tc>
        <w:tc>
          <w:tcPr>
            <w:tcW w:w="1001" w:type="dxa"/>
            <w:vMerge w:val="restart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7课时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shd w:val="clear" w:color="auto" w:fill="EDEDED" w:themeFill="accent3" w:themeFillTint="32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直播运营设计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直播带货技能提升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短视频制作能力进阶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短视频爆款解析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优秀作品解析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第三方直播推广技巧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直播平台免费和付费流量获取技巧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主播能力提升</w:t>
            </w: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销售技巧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沟通技巧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139" w:type="dxa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压力管理</w:t>
            </w:r>
          </w:p>
        </w:tc>
        <w:tc>
          <w:tcPr>
            <w:tcW w:w="1001" w:type="dxa"/>
            <w:vMerge w:val="continue"/>
            <w:shd w:val="clear" w:color="auto" w:fill="EDEDED" w:themeFill="accent3" w:themeFillTint="32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bidi w:val="0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上课地址：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岳阳市南湖新区长檀社区居民服务中心</w:t>
      </w:r>
    </w:p>
    <w:p>
      <w:pPr>
        <w:bidi w:val="0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班主任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：邹京柏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电话：19106076255                                             上课时间：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8:4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0-12:00 13:00-15:30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</w:p>
    <w:p>
      <w:pPr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【学习要求】 ：1、学员不得迟到、早退和无故缺课，缺课3次以上，作退学处理；2、学员必须按课程进度完成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平台任务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；3、严格遵守课堂纪律，服从老师统一安排，认真做好笔记，按时完成作业；4、积极配合老师按参与性教学法组织教学，踊跃参加讨论、发言，并认真填写每日意见反馈表。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jk3NjE0YTg5YzllNzQzMmYxNTJhMTFiOTU2OWIifQ=="/>
  </w:docVars>
  <w:rsids>
    <w:rsidRoot w:val="02AB017B"/>
    <w:rsid w:val="02AB017B"/>
    <w:rsid w:val="052B2EAD"/>
    <w:rsid w:val="058225A3"/>
    <w:rsid w:val="0DED1AD3"/>
    <w:rsid w:val="2DB92B45"/>
    <w:rsid w:val="3B591B7F"/>
    <w:rsid w:val="43FC1382"/>
    <w:rsid w:val="468569DD"/>
    <w:rsid w:val="48EE05AF"/>
    <w:rsid w:val="51BC075D"/>
    <w:rsid w:val="51B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1039</Characters>
  <Lines>0</Lines>
  <Paragraphs>0</Paragraphs>
  <TotalTime>4</TotalTime>
  <ScaleCrop>false</ScaleCrop>
  <LinksUpToDate>false</LinksUpToDate>
  <CharactersWithSpaces>1119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2021-04-20T01:09:00Z</dcterms:created>
  <dc:creator>sunny</dc:creator>
  <cp:lastModifiedBy>晴～</cp:lastModifiedBy>
  <cp:lastPrinted>2023-05-08T05:33:00Z</cp:lastPrinted>
  <dcterms:modified xsi:type="dcterms:W3CDTF">2024-04-14T09:36:44Z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9707934515B240D48B7DC1E3327C2504</vt:lpwstr>
  </property>
</Properties>
</file>