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p>
    <w:p>
      <w:pPr>
        <w:pStyle w:val="7"/>
        <w:adjustRightInd w:val="0"/>
        <w:snapToGrid w:val="0"/>
        <w:spacing w:before="0" w:after="0" w:line="360" w:lineRule="auto"/>
        <w:outlineLvl w:val="9"/>
        <w:rPr>
          <w:rFonts w:hint="eastAsia" w:ascii="华文中宋" w:hAnsi="华文中宋" w:eastAsia="华文中宋" w:cs="华文中宋"/>
          <w:szCs w:val="44"/>
          <w:lang w:eastAsia="zh-CN"/>
        </w:rPr>
      </w:pPr>
      <w:r>
        <w:rPr>
          <w:rFonts w:hint="eastAsia" w:ascii="华文中宋" w:hAnsi="华文中宋" w:eastAsia="华文中宋" w:cs="华文中宋"/>
          <w:szCs w:val="44"/>
          <w:lang w:eastAsia="zh-CN"/>
        </w:rPr>
        <w:t>岳阳市养老和工伤保险服务中心</w:t>
      </w:r>
    </w:p>
    <w:p>
      <w:pPr>
        <w:pStyle w:val="7"/>
        <w:adjustRightInd w:val="0"/>
        <w:snapToGrid w:val="0"/>
        <w:spacing w:before="0" w:after="0" w:line="360" w:lineRule="auto"/>
        <w:outlineLvl w:val="9"/>
        <w:rPr>
          <w:rFonts w:hint="eastAsia" w:ascii="华文中宋" w:hAnsi="华文中宋" w:eastAsia="华文中宋" w:cs="华文中宋"/>
          <w:szCs w:val="44"/>
        </w:rPr>
      </w:pPr>
      <w:r>
        <w:rPr>
          <w:rFonts w:hint="eastAsia" w:ascii="华文中宋" w:hAnsi="华文中宋" w:eastAsia="华文中宋" w:cs="华文中宋"/>
          <w:szCs w:val="44"/>
        </w:rPr>
        <w:t>部门绩效监控报告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华文中宋" w:hAnsi="华文中宋" w:eastAsia="华文中宋" w:cs="华文中宋"/>
          <w:szCs w:val="44"/>
          <w:lang w:val="en-US" w:eastAsia="zh-CN"/>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岳阳市养老和工伤保险服务中心是专门从事企业和机关事业单位养老保险、工伤保险经办工作的县副处级财政全额拨款公益一类事业单位。主要负责宣传、贯彻养老保险、工伤保险政策、法规，结合我市实际情况落实养老、工伤保险政策的具体实施；确保参保人员待遇及时足额发放；做好离退休人员的社会化服务工作及指导社区建设；做好参保单位和参保人员的业务办理及政策咨询等工作。一年来，我中心始终坚持服务发展、注重实效的原则，结合本单位实际扎实开展了绩效管理各项工作，现将本年工作情况总结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7"/>
        <w:jc w:val="left"/>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shd w:val="clear" w:fill="FFFFFF"/>
          <w:lang w:val="en-US" w:eastAsia="zh-CN" w:bidi="ar"/>
        </w:rPr>
        <w:t>一、</w:t>
      </w:r>
      <w:r>
        <w:rPr>
          <w:rFonts w:hint="eastAsia" w:ascii="黑体" w:hAnsi="宋体" w:eastAsia="黑体" w:cs="黑体"/>
          <w:i w:val="0"/>
          <w:iCs w:val="0"/>
          <w:caps w:val="0"/>
          <w:color w:val="333333"/>
          <w:spacing w:val="0"/>
          <w:kern w:val="0"/>
          <w:sz w:val="32"/>
          <w:szCs w:val="32"/>
          <w:shd w:val="clear" w:fill="FFFFFF"/>
          <w:lang w:val="en-US" w:eastAsia="zh-CN" w:bidi="ar"/>
        </w:rPr>
        <w:t>绩效监控工作组织实施情况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加强领导，不断完善绩效考核管理制度。为加强绩效管理工作，中心实行主要领导负总责，分管领导亲自抓，各部门具体落实考核工作。明确责任，细化工作任务，积极化解工作中存在的问题，有力地推进各项工作的顺利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2、强化学习。组织单位相关人员积极学习绩效管理考核相关文件精神，不断总结绩效管理过程中的经验和教训，大力学习先进典型和经验。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3、如期完成各项任务。我中心高度重视单位绩效管理，分别于本年7月底、10月底按照财政局文件要求做好</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年预算绩效运行监控工作。对绩效监控中</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的各项目进行指标分析，实时跟进，</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不断改进和加强预算绩效管理。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7"/>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二、预算执行进度和绩效目标运行情况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ascii="楷体_GB2312" w:hAnsi="微软雅黑" w:eastAsia="楷体_GB2312" w:cs="楷体_GB2312"/>
          <w:i w:val="0"/>
          <w:iCs w:val="0"/>
          <w:caps w:val="0"/>
          <w:color w:val="333333"/>
          <w:spacing w:val="0"/>
          <w:kern w:val="0"/>
          <w:sz w:val="32"/>
          <w:szCs w:val="32"/>
          <w:shd w:val="clear" w:fill="FFFFFF"/>
          <w:lang w:val="en-US" w:eastAsia="zh-CN" w:bidi="ar"/>
        </w:rPr>
        <w:t>（一）</w:t>
      </w:r>
      <w:r>
        <w:rPr>
          <w:rFonts w:hint="default" w:ascii="楷体_GB2312" w:hAnsi="微软雅黑" w:eastAsia="楷体_GB2312" w:cs="楷体_GB2312"/>
          <w:i w:val="0"/>
          <w:iCs w:val="0"/>
          <w:caps w:val="0"/>
          <w:color w:val="333333"/>
          <w:spacing w:val="0"/>
          <w:kern w:val="0"/>
          <w:sz w:val="32"/>
          <w:szCs w:val="32"/>
          <w:shd w:val="clear" w:fill="FFFFFF"/>
          <w:lang w:val="en-US" w:eastAsia="zh-CN" w:bidi="ar"/>
        </w:rPr>
        <w:t>预算执行进度情况及趋势分析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年度部门年初预算数</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1307.56</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预算追加557.46万元，全年预算数1865.02万元。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全年支出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1865.02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万元，预算执行进度达</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0"/>
        <w:jc w:val="left"/>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i w:val="0"/>
          <w:iCs w:val="0"/>
          <w:caps w:val="0"/>
          <w:color w:val="333333"/>
          <w:spacing w:val="0"/>
          <w:kern w:val="0"/>
          <w:sz w:val="32"/>
          <w:szCs w:val="32"/>
          <w:shd w:val="clear" w:fill="FFFFFF"/>
          <w:lang w:val="en-US" w:eastAsia="zh-CN" w:bidi="ar"/>
        </w:rPr>
        <w:t>（二）绩效目标实现程度及趋势分析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截至202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月31日，按监控节点，预期指标值为衡量标准，预算执行进度</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达100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%。我单位严格按照绩效管理的相关要求，对本单位整体支出绩效运行实施监控。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共设置一级指标3个，二级指</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个，三级指标</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个。截至</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12月底</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个三级指标的完成情况如下：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1.产出指标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企业养老保险市本级待遇发放数量指标</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全年发放39.36亿元，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该指标预期值为100%，实际完成值为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机关事业单位养老保险市本级待遇发放数量指标</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全年发放6.36亿元，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该指标预期值为100%，实际完成值为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工伤保险市本级待遇发放数量指标</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全年发放长期待遇1100万元，</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该指标预期值为100%，实际完成值为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100</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养老保险、工伤保险待遇发放率质量指标：该项指标期望值为100%，目前已实现参保人员全面发放，已完成100%。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确保基金安全运行质量指标：该指标完成情况良好。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做好社保各项政策咨询工作质量指标：该指标完成情况良好。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2022年12月31日前完成各项任务时效指标：该指标期望值100%,目前实际完成值为100%。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全年成本不超过1865.02万元成本指标：截止至12月底，已使用100%。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2.效益指标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促进社会经济发展指标：社会经济发展有所提升。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稳步落实各项惠民政策，切实维护广大参保群众的合法权益相关</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社会效益指标：该指标预期值为良好</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以上</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，实际完成值为良好。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生态环境改善情况指标：生态环境有所改善。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可持续影响指标：实现经济社会可持续发展。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3.满意度指标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服务对象满意度指标：该指标预期值为100%，实际完成值为100%。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综上，全年绩效目标</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完成较好</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7"/>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三、存在的主要问题及原因分析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截止至</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底，</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本单位整体支出绩效目标监控任务达成，不存在未完成原因分析。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7"/>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四、下一步改进工作的举措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微软雅黑" w:hAnsi="微软雅黑" w:eastAsia="微软雅黑" w:cs="微软雅黑"/>
          <w:i w:val="0"/>
          <w:iCs w:val="0"/>
          <w:caps w:val="0"/>
          <w:color w:val="333333"/>
          <w:spacing w:val="0"/>
          <w:sz w:val="24"/>
          <w:szCs w:val="24"/>
          <w:lang w:val="en-US"/>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1、严格编制预算。始终遵循可靠性</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、真实性、</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合理性、绩效性</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原则</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，有效做好财力保障。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rightChars="0" w:firstLine="640" w:firstLineChars="20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加强监管，</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建章立制。加大学习力度，</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加强工作人员的</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财务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业务培训</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做到监管机制环环相扣</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rightChars="0" w:firstLine="640" w:firstLineChars="20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3、树立绩效管理理念。</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建立健全财政绩效评价指标体系，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rightChars="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财政绩效管理信息化建设，加大绩效评价结果的运用</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，提高资金使用效益。</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27"/>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五、其他需要说明的问题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无</w:t>
      </w:r>
    </w:p>
    <w:sectPr>
      <w:pgSz w:w="11906" w:h="16838"/>
      <w:pgMar w:top="1418" w:right="1758" w:bottom="1418" w:left="1758" w:header="851" w:footer="992" w:gutter="0"/>
      <w:pgNumType w:fmt="numberInDash" w:start="4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1MzBmM2MxODNiNDBiMTJmNTY0Zjg2M2Y1M2Q3MzMifQ=="/>
  </w:docVars>
  <w:rsids>
    <w:rsidRoot w:val="6B1C3F3B"/>
    <w:rsid w:val="0048753B"/>
    <w:rsid w:val="00800F83"/>
    <w:rsid w:val="00D20B4D"/>
    <w:rsid w:val="00FA471E"/>
    <w:rsid w:val="011473B7"/>
    <w:rsid w:val="011B0745"/>
    <w:rsid w:val="03830824"/>
    <w:rsid w:val="04806B11"/>
    <w:rsid w:val="09A45050"/>
    <w:rsid w:val="0A9879BC"/>
    <w:rsid w:val="0AB3379D"/>
    <w:rsid w:val="0BDF05C2"/>
    <w:rsid w:val="0C0544CC"/>
    <w:rsid w:val="0E1924B1"/>
    <w:rsid w:val="0F2E3D3A"/>
    <w:rsid w:val="0F8E2A2A"/>
    <w:rsid w:val="0FD7617F"/>
    <w:rsid w:val="14755F67"/>
    <w:rsid w:val="14F308B7"/>
    <w:rsid w:val="16295280"/>
    <w:rsid w:val="171B2DF6"/>
    <w:rsid w:val="185C1EE0"/>
    <w:rsid w:val="18616F2E"/>
    <w:rsid w:val="18A961DF"/>
    <w:rsid w:val="197B401F"/>
    <w:rsid w:val="1A5A3C35"/>
    <w:rsid w:val="1E206F43"/>
    <w:rsid w:val="1EF34658"/>
    <w:rsid w:val="1F15637C"/>
    <w:rsid w:val="1F212F73"/>
    <w:rsid w:val="20166850"/>
    <w:rsid w:val="20D64231"/>
    <w:rsid w:val="20E8713A"/>
    <w:rsid w:val="211D3C0E"/>
    <w:rsid w:val="214747E7"/>
    <w:rsid w:val="22121299"/>
    <w:rsid w:val="25396B3D"/>
    <w:rsid w:val="26154EB4"/>
    <w:rsid w:val="27D74B17"/>
    <w:rsid w:val="286877EA"/>
    <w:rsid w:val="2A5306A1"/>
    <w:rsid w:val="2A585CB7"/>
    <w:rsid w:val="2B632B65"/>
    <w:rsid w:val="2BE9306B"/>
    <w:rsid w:val="2C5A3F68"/>
    <w:rsid w:val="2D045C82"/>
    <w:rsid w:val="305A62E5"/>
    <w:rsid w:val="31012C04"/>
    <w:rsid w:val="31B163D9"/>
    <w:rsid w:val="348F6779"/>
    <w:rsid w:val="35523A2F"/>
    <w:rsid w:val="36851BE2"/>
    <w:rsid w:val="38B14F10"/>
    <w:rsid w:val="38DC40EF"/>
    <w:rsid w:val="38F17A02"/>
    <w:rsid w:val="39C72511"/>
    <w:rsid w:val="3D2F0AF9"/>
    <w:rsid w:val="3D42082D"/>
    <w:rsid w:val="3D4A5933"/>
    <w:rsid w:val="3DB66B25"/>
    <w:rsid w:val="3E285C74"/>
    <w:rsid w:val="3F47212A"/>
    <w:rsid w:val="3FB47094"/>
    <w:rsid w:val="43D61CCF"/>
    <w:rsid w:val="45E5444B"/>
    <w:rsid w:val="46BD0F24"/>
    <w:rsid w:val="478832E0"/>
    <w:rsid w:val="487108F9"/>
    <w:rsid w:val="48791846"/>
    <w:rsid w:val="4A11055F"/>
    <w:rsid w:val="4A45195C"/>
    <w:rsid w:val="4BEE392E"/>
    <w:rsid w:val="4C4A5008"/>
    <w:rsid w:val="4CD07C03"/>
    <w:rsid w:val="4CD11285"/>
    <w:rsid w:val="4D2910C1"/>
    <w:rsid w:val="4D441538"/>
    <w:rsid w:val="4D9329DF"/>
    <w:rsid w:val="4DB36BDD"/>
    <w:rsid w:val="52E77A54"/>
    <w:rsid w:val="56BE6D1E"/>
    <w:rsid w:val="57DB3900"/>
    <w:rsid w:val="590F1AB3"/>
    <w:rsid w:val="5A1B6236"/>
    <w:rsid w:val="5B557525"/>
    <w:rsid w:val="5B61236E"/>
    <w:rsid w:val="5B77749C"/>
    <w:rsid w:val="5E196F30"/>
    <w:rsid w:val="5EA20CD3"/>
    <w:rsid w:val="611F03B9"/>
    <w:rsid w:val="617C3A5E"/>
    <w:rsid w:val="61A22ACD"/>
    <w:rsid w:val="623954AB"/>
    <w:rsid w:val="625075FB"/>
    <w:rsid w:val="63F0428F"/>
    <w:rsid w:val="64923598"/>
    <w:rsid w:val="6579196C"/>
    <w:rsid w:val="66310A9A"/>
    <w:rsid w:val="66C35C8B"/>
    <w:rsid w:val="67193AFD"/>
    <w:rsid w:val="6753617B"/>
    <w:rsid w:val="67E81E4D"/>
    <w:rsid w:val="68262975"/>
    <w:rsid w:val="68B25FB7"/>
    <w:rsid w:val="68CF4DBB"/>
    <w:rsid w:val="69362744"/>
    <w:rsid w:val="694E3F32"/>
    <w:rsid w:val="6962178B"/>
    <w:rsid w:val="69FD7706"/>
    <w:rsid w:val="6B1C3F3B"/>
    <w:rsid w:val="6B250CC2"/>
    <w:rsid w:val="6B252A70"/>
    <w:rsid w:val="6D120D52"/>
    <w:rsid w:val="6D203E37"/>
    <w:rsid w:val="6EA42629"/>
    <w:rsid w:val="70074E3A"/>
    <w:rsid w:val="70934920"/>
    <w:rsid w:val="710F044A"/>
    <w:rsid w:val="729B4EDD"/>
    <w:rsid w:val="73555EBD"/>
    <w:rsid w:val="73B61051"/>
    <w:rsid w:val="74051691"/>
    <w:rsid w:val="740F250F"/>
    <w:rsid w:val="77F9150C"/>
    <w:rsid w:val="78BB4A14"/>
    <w:rsid w:val="79764DDF"/>
    <w:rsid w:val="7A5F68E3"/>
    <w:rsid w:val="7ACC2F08"/>
    <w:rsid w:val="7C1A4147"/>
    <w:rsid w:val="7F166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Title"/>
    <w:basedOn w:val="1"/>
    <w:next w:val="1"/>
    <w:qFormat/>
    <w:uiPriority w:val="0"/>
    <w:pPr>
      <w:spacing w:before="240" w:after="60"/>
      <w:jc w:val="center"/>
      <w:outlineLvl w:val="0"/>
    </w:pPr>
    <w:rPr>
      <w:rFonts w:ascii="Cambria" w:hAnsi="Cambria" w:eastAsia="宋体"/>
      <w:b/>
      <w:bCs/>
      <w:kern w:val="0"/>
      <w:szCs w:val="32"/>
    </w:rPr>
  </w:style>
  <w:style w:type="paragraph" w:customStyle="1" w:styleId="7">
    <w:name w:val="办公自动化专用标题"/>
    <w:basedOn w:val="4"/>
    <w:qFormat/>
    <w:uiPriority w:val="0"/>
    <w:pPr>
      <w:spacing w:line="560" w:lineRule="atLeast"/>
    </w:pPr>
    <w:rPr>
      <w:rFonts w:ascii="宋体" w:hAnsi="Arial" w:cs="Times New Roman"/>
      <w:bCs w:val="0"/>
      <w:sz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Words>
  <Characters>108</Characters>
  <Lines>1</Lines>
  <Paragraphs>1</Paragraphs>
  <TotalTime>0</TotalTime>
  <ScaleCrop>false</ScaleCrop>
  <LinksUpToDate>false</LinksUpToDate>
  <CharactersWithSpaces>125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2019-12-30T02:09:00Z</dcterms:created>
  <dc:creator>刘璐</dc:creator>
  <cp:lastModifiedBy>颖子</cp:lastModifiedBy>
  <dcterms:modified xsi:type="dcterms:W3CDTF">2023-10-18T02:56:12Z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E8909B3B7F424802AE8F494E97779B57_12</vt:lpwstr>
  </property>
</Properties>
</file>